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8B" w:rsidRPr="0093427F" w:rsidRDefault="0068488B" w:rsidP="00000F3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427F">
        <w:rPr>
          <w:rFonts w:ascii="Times New Roman" w:hAnsi="Times New Roman" w:cs="Times New Roman"/>
          <w:b/>
          <w:sz w:val="32"/>
          <w:szCs w:val="32"/>
        </w:rPr>
        <w:t>PREVIMPA</w:t>
      </w:r>
    </w:p>
    <w:p w:rsidR="0068488B" w:rsidRPr="0068488B" w:rsidRDefault="0068488B" w:rsidP="00000F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88B">
        <w:rPr>
          <w:rFonts w:ascii="Times New Roman" w:hAnsi="Times New Roman" w:cs="Times New Roman"/>
          <w:b/>
          <w:sz w:val="28"/>
          <w:szCs w:val="28"/>
        </w:rPr>
        <w:t>Conselho de Administração</w:t>
      </w:r>
    </w:p>
    <w:p w:rsidR="006779B6" w:rsidRDefault="006779B6" w:rsidP="00000F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21B" w:rsidRDefault="00CE4183" w:rsidP="00000F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9B6">
        <w:rPr>
          <w:rFonts w:ascii="Times New Roman" w:hAnsi="Times New Roman" w:cs="Times New Roman"/>
          <w:b/>
          <w:sz w:val="24"/>
          <w:szCs w:val="24"/>
        </w:rPr>
        <w:t>Parecer coletivo nº 1/2018</w:t>
      </w:r>
    </w:p>
    <w:p w:rsidR="0050221B" w:rsidRPr="0050221B" w:rsidRDefault="0050221B" w:rsidP="00000F37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488B" w:rsidRPr="006779B6" w:rsidRDefault="0050221B" w:rsidP="00000F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7F0">
        <w:rPr>
          <w:rFonts w:ascii="Times New Roman" w:hAnsi="Times New Roman" w:cs="Times New Roman"/>
          <w:b/>
          <w:sz w:val="24"/>
          <w:szCs w:val="24"/>
        </w:rPr>
        <w:t>Parecer</w:t>
      </w:r>
      <w:r w:rsidR="006779B6" w:rsidRPr="005022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79B6" w:rsidRPr="006779B6">
        <w:rPr>
          <w:rFonts w:ascii="Times New Roman" w:hAnsi="Times New Roman" w:cs="Times New Roman"/>
          <w:b/>
          <w:sz w:val="24"/>
          <w:szCs w:val="24"/>
        </w:rPr>
        <w:t>d</w:t>
      </w:r>
      <w:r w:rsidR="00CE4183" w:rsidRPr="006779B6">
        <w:rPr>
          <w:rFonts w:ascii="Times New Roman" w:hAnsi="Times New Roman" w:cs="Times New Roman"/>
          <w:b/>
          <w:sz w:val="24"/>
          <w:szCs w:val="24"/>
        </w:rPr>
        <w:t>esfavorável a</w:t>
      </w:r>
      <w:r w:rsidR="0068488B" w:rsidRPr="006779B6">
        <w:rPr>
          <w:rFonts w:ascii="Times New Roman" w:hAnsi="Times New Roman" w:cs="Times New Roman"/>
          <w:b/>
          <w:sz w:val="24"/>
          <w:szCs w:val="24"/>
        </w:rPr>
        <w:t>o PLC nº 07/2018, que institui o Regime de Previdência Complementar para os servidores públicos municipais.</w:t>
      </w:r>
    </w:p>
    <w:p w:rsidR="00F557AA" w:rsidRDefault="00F557AA" w:rsidP="00000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1BF1" w:rsidRPr="00B24339" w:rsidRDefault="006C1BF1" w:rsidP="00000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339">
        <w:rPr>
          <w:rFonts w:ascii="Times New Roman" w:hAnsi="Times New Roman" w:cs="Times New Roman"/>
          <w:sz w:val="24"/>
          <w:szCs w:val="24"/>
        </w:rPr>
        <w:t xml:space="preserve">O conteúdo do </w:t>
      </w:r>
      <w:r w:rsidR="005726D6">
        <w:rPr>
          <w:rFonts w:ascii="Times New Roman" w:hAnsi="Times New Roman" w:cs="Times New Roman"/>
          <w:sz w:val="24"/>
          <w:szCs w:val="24"/>
        </w:rPr>
        <w:t>PLC n</w:t>
      </w:r>
      <w:r w:rsidRPr="00B24339">
        <w:rPr>
          <w:rFonts w:ascii="Times New Roman" w:hAnsi="Times New Roman" w:cs="Times New Roman"/>
          <w:sz w:val="24"/>
          <w:szCs w:val="24"/>
        </w:rPr>
        <w:t xml:space="preserve">º </w:t>
      </w:r>
      <w:r w:rsidR="0068488B" w:rsidRPr="00B24339">
        <w:rPr>
          <w:rFonts w:ascii="Times New Roman" w:hAnsi="Times New Roman" w:cs="Times New Roman"/>
          <w:sz w:val="24"/>
          <w:szCs w:val="24"/>
        </w:rPr>
        <w:t>07/</w:t>
      </w:r>
      <w:r w:rsidRPr="00B24339">
        <w:rPr>
          <w:rFonts w:ascii="Times New Roman" w:hAnsi="Times New Roman" w:cs="Times New Roman"/>
          <w:sz w:val="24"/>
          <w:szCs w:val="24"/>
        </w:rPr>
        <w:t xml:space="preserve">2018, que propõe a </w:t>
      </w:r>
      <w:r w:rsidR="0033663D" w:rsidRPr="00B24339">
        <w:rPr>
          <w:rFonts w:ascii="Times New Roman" w:hAnsi="Times New Roman" w:cs="Times New Roman"/>
          <w:sz w:val="24"/>
          <w:szCs w:val="24"/>
        </w:rPr>
        <w:t xml:space="preserve">criação </w:t>
      </w:r>
      <w:r w:rsidRPr="00B24339">
        <w:rPr>
          <w:rFonts w:ascii="Times New Roman" w:hAnsi="Times New Roman" w:cs="Times New Roman"/>
          <w:sz w:val="24"/>
          <w:szCs w:val="24"/>
        </w:rPr>
        <w:t>d</w:t>
      </w:r>
      <w:r w:rsidR="0068488B" w:rsidRPr="00B24339">
        <w:rPr>
          <w:rFonts w:ascii="Times New Roman" w:hAnsi="Times New Roman" w:cs="Times New Roman"/>
          <w:sz w:val="24"/>
          <w:szCs w:val="24"/>
        </w:rPr>
        <w:t>e</w:t>
      </w:r>
      <w:r w:rsidRPr="00B24339">
        <w:rPr>
          <w:rFonts w:ascii="Times New Roman" w:hAnsi="Times New Roman" w:cs="Times New Roman"/>
          <w:sz w:val="24"/>
          <w:szCs w:val="24"/>
        </w:rPr>
        <w:t xml:space="preserve"> </w:t>
      </w:r>
      <w:r w:rsidR="0068488B" w:rsidRPr="00B24339">
        <w:rPr>
          <w:rFonts w:ascii="Times New Roman" w:hAnsi="Times New Roman" w:cs="Times New Roman"/>
          <w:sz w:val="24"/>
          <w:szCs w:val="24"/>
        </w:rPr>
        <w:t xml:space="preserve">Regime </w:t>
      </w:r>
      <w:r w:rsidRPr="00B24339">
        <w:rPr>
          <w:rFonts w:ascii="Times New Roman" w:hAnsi="Times New Roman" w:cs="Times New Roman"/>
          <w:sz w:val="24"/>
          <w:szCs w:val="24"/>
        </w:rPr>
        <w:t xml:space="preserve">de Previdência Complementar no Município de Porto Alegre, vem sendo analisado e debatido </w:t>
      </w:r>
      <w:r w:rsidR="009B4D56">
        <w:rPr>
          <w:rFonts w:ascii="Times New Roman" w:hAnsi="Times New Roman" w:cs="Times New Roman"/>
          <w:sz w:val="24"/>
          <w:szCs w:val="24"/>
        </w:rPr>
        <w:t xml:space="preserve">pelo </w:t>
      </w:r>
      <w:r w:rsidRPr="00B24339">
        <w:rPr>
          <w:rFonts w:ascii="Times New Roman" w:hAnsi="Times New Roman" w:cs="Times New Roman"/>
          <w:sz w:val="24"/>
          <w:szCs w:val="24"/>
        </w:rPr>
        <w:t xml:space="preserve">Conselho de Administração </w:t>
      </w:r>
      <w:r w:rsidR="001C0805" w:rsidRPr="00B24339">
        <w:rPr>
          <w:rFonts w:ascii="Times New Roman" w:hAnsi="Times New Roman" w:cs="Times New Roman"/>
          <w:sz w:val="24"/>
          <w:szCs w:val="24"/>
        </w:rPr>
        <w:t xml:space="preserve">[CAD] </w:t>
      </w:r>
      <w:r w:rsidRPr="00B24339">
        <w:rPr>
          <w:rFonts w:ascii="Times New Roman" w:hAnsi="Times New Roman" w:cs="Times New Roman"/>
          <w:sz w:val="24"/>
          <w:szCs w:val="24"/>
        </w:rPr>
        <w:t>do PREVIMPA desde o exercício de 2017</w:t>
      </w:r>
      <w:r w:rsidR="00CE4183">
        <w:rPr>
          <w:rFonts w:ascii="Times New Roman" w:hAnsi="Times New Roman" w:cs="Times New Roman"/>
          <w:sz w:val="24"/>
          <w:szCs w:val="24"/>
        </w:rPr>
        <w:t>, pela anterior composição do Colegiado</w:t>
      </w:r>
      <w:r w:rsidRPr="00B24339">
        <w:rPr>
          <w:rFonts w:ascii="Times New Roman" w:hAnsi="Times New Roman" w:cs="Times New Roman"/>
          <w:sz w:val="24"/>
          <w:szCs w:val="24"/>
        </w:rPr>
        <w:t>.</w:t>
      </w:r>
    </w:p>
    <w:p w:rsidR="00E97E07" w:rsidRPr="001D51E6" w:rsidRDefault="001C0805" w:rsidP="00000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339">
        <w:rPr>
          <w:rFonts w:ascii="Times New Roman" w:hAnsi="Times New Roman" w:cs="Times New Roman"/>
          <w:sz w:val="24"/>
          <w:szCs w:val="24"/>
        </w:rPr>
        <w:t>No curso de</w:t>
      </w:r>
      <w:r w:rsidR="0068488B" w:rsidRPr="00B24339">
        <w:rPr>
          <w:rFonts w:ascii="Times New Roman" w:hAnsi="Times New Roman" w:cs="Times New Roman"/>
          <w:sz w:val="24"/>
          <w:szCs w:val="24"/>
        </w:rPr>
        <w:t>ste ano de</w:t>
      </w:r>
      <w:r w:rsidRPr="00B24339">
        <w:rPr>
          <w:rFonts w:ascii="Times New Roman" w:hAnsi="Times New Roman" w:cs="Times New Roman"/>
          <w:sz w:val="24"/>
          <w:szCs w:val="24"/>
        </w:rPr>
        <w:t xml:space="preserve"> 2018, </w:t>
      </w:r>
      <w:r w:rsidR="00CE4183">
        <w:rPr>
          <w:rFonts w:ascii="Times New Roman" w:hAnsi="Times New Roman" w:cs="Times New Roman"/>
          <w:sz w:val="24"/>
          <w:szCs w:val="24"/>
        </w:rPr>
        <w:t xml:space="preserve">desde a posse da nova composição do CAD, </w:t>
      </w:r>
      <w:r w:rsidR="005111DD">
        <w:rPr>
          <w:rFonts w:ascii="Times New Roman" w:hAnsi="Times New Roman" w:cs="Times New Roman"/>
          <w:sz w:val="24"/>
          <w:szCs w:val="24"/>
        </w:rPr>
        <w:t>4</w:t>
      </w:r>
      <w:r w:rsidRPr="00B24339">
        <w:rPr>
          <w:rFonts w:ascii="Times New Roman" w:hAnsi="Times New Roman" w:cs="Times New Roman"/>
          <w:sz w:val="24"/>
          <w:szCs w:val="24"/>
        </w:rPr>
        <w:t xml:space="preserve"> sessões ordinárias e </w:t>
      </w:r>
      <w:r w:rsidR="0068488B" w:rsidRPr="00B24339">
        <w:rPr>
          <w:rFonts w:ascii="Times New Roman" w:hAnsi="Times New Roman" w:cs="Times New Roman"/>
          <w:sz w:val="24"/>
          <w:szCs w:val="24"/>
        </w:rPr>
        <w:t>1</w:t>
      </w:r>
      <w:r w:rsidRPr="00B24339">
        <w:rPr>
          <w:rFonts w:ascii="Times New Roman" w:hAnsi="Times New Roman" w:cs="Times New Roman"/>
          <w:sz w:val="24"/>
          <w:szCs w:val="24"/>
        </w:rPr>
        <w:t xml:space="preserve"> </w:t>
      </w:r>
      <w:r w:rsidR="0068488B" w:rsidRPr="00B24339">
        <w:rPr>
          <w:rFonts w:ascii="Times New Roman" w:hAnsi="Times New Roman" w:cs="Times New Roman"/>
          <w:sz w:val="24"/>
          <w:szCs w:val="24"/>
        </w:rPr>
        <w:t xml:space="preserve">sessão </w:t>
      </w:r>
      <w:r w:rsidRPr="00B24339">
        <w:rPr>
          <w:rFonts w:ascii="Times New Roman" w:hAnsi="Times New Roman" w:cs="Times New Roman"/>
          <w:sz w:val="24"/>
          <w:szCs w:val="24"/>
        </w:rPr>
        <w:t>extraordinária foram dedicadas ao exame d</w:t>
      </w:r>
      <w:r w:rsidR="009B4D56">
        <w:rPr>
          <w:rFonts w:ascii="Times New Roman" w:hAnsi="Times New Roman" w:cs="Times New Roman"/>
          <w:sz w:val="24"/>
          <w:szCs w:val="24"/>
        </w:rPr>
        <w:t>est</w:t>
      </w:r>
      <w:r w:rsidRPr="00B24339">
        <w:rPr>
          <w:rFonts w:ascii="Times New Roman" w:hAnsi="Times New Roman" w:cs="Times New Roman"/>
          <w:sz w:val="24"/>
          <w:szCs w:val="24"/>
        </w:rPr>
        <w:t>a matéria</w:t>
      </w:r>
      <w:r w:rsidR="00E97E07" w:rsidRPr="001D51E6">
        <w:rPr>
          <w:rFonts w:ascii="Times New Roman" w:hAnsi="Times New Roman" w:cs="Times New Roman"/>
          <w:sz w:val="24"/>
          <w:szCs w:val="24"/>
        </w:rPr>
        <w:t>.</w:t>
      </w:r>
    </w:p>
    <w:p w:rsidR="001D51E6" w:rsidRDefault="00B05C23" w:rsidP="00000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51E6">
        <w:rPr>
          <w:rFonts w:ascii="Times New Roman" w:hAnsi="Times New Roman" w:cs="Times New Roman"/>
          <w:sz w:val="24"/>
          <w:szCs w:val="24"/>
        </w:rPr>
        <w:t>O Conselho de Administração é o “</w:t>
      </w:r>
      <w:r w:rsidRPr="001D51E6">
        <w:rPr>
          <w:rFonts w:ascii="Times New Roman" w:hAnsi="Times New Roman" w:cs="Times New Roman"/>
          <w:i/>
          <w:sz w:val="24"/>
          <w:szCs w:val="24"/>
        </w:rPr>
        <w:t>órgão superior de deliberação colegiada da entidade</w:t>
      </w:r>
      <w:r w:rsidRPr="001D51E6">
        <w:rPr>
          <w:rFonts w:ascii="Times New Roman" w:hAnsi="Times New Roman" w:cs="Times New Roman"/>
          <w:sz w:val="24"/>
          <w:szCs w:val="24"/>
        </w:rPr>
        <w:t>” [Lei nº 478/2002, Art</w:t>
      </w:r>
      <w:r w:rsidR="00296EF2" w:rsidRPr="001D51E6">
        <w:rPr>
          <w:rFonts w:ascii="Times New Roman" w:hAnsi="Times New Roman" w:cs="Times New Roman"/>
          <w:sz w:val="24"/>
          <w:szCs w:val="24"/>
        </w:rPr>
        <w:t>igo</w:t>
      </w:r>
      <w:r w:rsidRPr="001D51E6">
        <w:rPr>
          <w:rFonts w:ascii="Times New Roman" w:hAnsi="Times New Roman" w:cs="Times New Roman"/>
          <w:sz w:val="24"/>
          <w:szCs w:val="24"/>
        </w:rPr>
        <w:t xml:space="preserve"> 7º]; a </w:t>
      </w:r>
      <w:r w:rsidR="004B2B7E" w:rsidRPr="001D51E6">
        <w:rPr>
          <w:rFonts w:ascii="Times New Roman" w:hAnsi="Times New Roman" w:cs="Times New Roman"/>
          <w:sz w:val="24"/>
          <w:szCs w:val="24"/>
        </w:rPr>
        <w:t xml:space="preserve">máxima </w:t>
      </w:r>
      <w:r w:rsidRPr="001D51E6">
        <w:rPr>
          <w:rFonts w:ascii="Times New Roman" w:hAnsi="Times New Roman" w:cs="Times New Roman"/>
          <w:sz w:val="24"/>
          <w:szCs w:val="24"/>
        </w:rPr>
        <w:t xml:space="preserve">instância </w:t>
      </w:r>
      <w:r w:rsidR="004B2B7E" w:rsidRPr="001D51E6">
        <w:rPr>
          <w:rFonts w:ascii="Times New Roman" w:hAnsi="Times New Roman" w:cs="Times New Roman"/>
          <w:sz w:val="24"/>
          <w:szCs w:val="24"/>
        </w:rPr>
        <w:t>decisória</w:t>
      </w:r>
      <w:r w:rsidRPr="001D51E6">
        <w:rPr>
          <w:rFonts w:ascii="Times New Roman" w:hAnsi="Times New Roman" w:cs="Times New Roman"/>
          <w:sz w:val="24"/>
          <w:szCs w:val="24"/>
        </w:rPr>
        <w:t xml:space="preserve"> do PREVIMPA</w:t>
      </w:r>
      <w:r w:rsidR="009B4D56" w:rsidRPr="001D51E6">
        <w:rPr>
          <w:rFonts w:ascii="Times New Roman" w:hAnsi="Times New Roman" w:cs="Times New Roman"/>
          <w:sz w:val="24"/>
          <w:szCs w:val="24"/>
        </w:rPr>
        <w:t xml:space="preserve">. O CAD </w:t>
      </w:r>
      <w:r w:rsidR="004B2B7E" w:rsidRPr="001D51E6">
        <w:rPr>
          <w:rFonts w:ascii="Times New Roman" w:hAnsi="Times New Roman" w:cs="Times New Roman"/>
          <w:sz w:val="24"/>
          <w:szCs w:val="24"/>
        </w:rPr>
        <w:t xml:space="preserve">recebeu, por lei, </w:t>
      </w:r>
      <w:r w:rsidR="009B4D56" w:rsidRPr="001D51E6">
        <w:rPr>
          <w:rFonts w:ascii="Times New Roman" w:hAnsi="Times New Roman" w:cs="Times New Roman"/>
          <w:sz w:val="24"/>
          <w:szCs w:val="24"/>
        </w:rPr>
        <w:t xml:space="preserve">atribuições legais </w:t>
      </w:r>
      <w:r w:rsidR="00077A6A" w:rsidRPr="001D51E6">
        <w:rPr>
          <w:rFonts w:ascii="Times New Roman" w:hAnsi="Times New Roman" w:cs="Times New Roman"/>
          <w:sz w:val="24"/>
          <w:szCs w:val="24"/>
        </w:rPr>
        <w:t>imperativa</w:t>
      </w:r>
      <w:r w:rsidR="009B4D56" w:rsidRPr="001D51E6">
        <w:rPr>
          <w:rFonts w:ascii="Times New Roman" w:hAnsi="Times New Roman" w:cs="Times New Roman"/>
          <w:sz w:val="24"/>
          <w:szCs w:val="24"/>
        </w:rPr>
        <w:t xml:space="preserve">s </w:t>
      </w:r>
      <w:r w:rsidR="00077A6A" w:rsidRPr="001D51E6">
        <w:rPr>
          <w:rFonts w:ascii="Times New Roman" w:hAnsi="Times New Roman" w:cs="Times New Roman"/>
          <w:sz w:val="24"/>
          <w:szCs w:val="24"/>
        </w:rPr>
        <w:t>a</w:t>
      </w:r>
      <w:r w:rsidR="00077A6A">
        <w:rPr>
          <w:rFonts w:ascii="Times New Roman" w:hAnsi="Times New Roman" w:cs="Times New Roman"/>
          <w:sz w:val="24"/>
          <w:szCs w:val="24"/>
        </w:rPr>
        <w:t xml:space="preserve"> respeito das </w:t>
      </w:r>
      <w:r w:rsidR="009B4D56">
        <w:rPr>
          <w:rFonts w:ascii="Times New Roman" w:hAnsi="Times New Roman" w:cs="Times New Roman"/>
          <w:sz w:val="24"/>
          <w:szCs w:val="24"/>
        </w:rPr>
        <w:t xml:space="preserve">questões </w:t>
      </w:r>
      <w:r w:rsidRPr="00B24339">
        <w:rPr>
          <w:rFonts w:ascii="Times New Roman" w:hAnsi="Times New Roman" w:cs="Times New Roman"/>
          <w:sz w:val="24"/>
          <w:szCs w:val="24"/>
        </w:rPr>
        <w:t>previdenciári</w:t>
      </w:r>
      <w:r w:rsidR="00306638">
        <w:rPr>
          <w:rFonts w:ascii="Times New Roman" w:hAnsi="Times New Roman" w:cs="Times New Roman"/>
          <w:sz w:val="24"/>
          <w:szCs w:val="24"/>
        </w:rPr>
        <w:t>a</w:t>
      </w:r>
      <w:r w:rsidRPr="00B24339">
        <w:rPr>
          <w:rFonts w:ascii="Times New Roman" w:hAnsi="Times New Roman" w:cs="Times New Roman"/>
          <w:sz w:val="24"/>
          <w:szCs w:val="24"/>
        </w:rPr>
        <w:t xml:space="preserve">s </w:t>
      </w:r>
      <w:r w:rsidR="009B4D56">
        <w:rPr>
          <w:rFonts w:ascii="Times New Roman" w:hAnsi="Times New Roman" w:cs="Times New Roman"/>
          <w:sz w:val="24"/>
          <w:szCs w:val="24"/>
        </w:rPr>
        <w:t>d</w:t>
      </w:r>
      <w:r w:rsidRPr="00B24339">
        <w:rPr>
          <w:rFonts w:ascii="Times New Roman" w:hAnsi="Times New Roman" w:cs="Times New Roman"/>
          <w:sz w:val="24"/>
          <w:szCs w:val="24"/>
        </w:rPr>
        <w:t>o</w:t>
      </w:r>
      <w:r w:rsidR="001D51E6">
        <w:rPr>
          <w:rFonts w:ascii="Times New Roman" w:hAnsi="Times New Roman" w:cs="Times New Roman"/>
          <w:sz w:val="24"/>
          <w:szCs w:val="24"/>
        </w:rPr>
        <w:t>s servidores municipais.</w:t>
      </w:r>
    </w:p>
    <w:p w:rsidR="00E97E07" w:rsidRPr="00B24339" w:rsidRDefault="002D4F55" w:rsidP="00000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envio do </w:t>
      </w:r>
      <w:r w:rsidR="005726D6">
        <w:rPr>
          <w:rFonts w:ascii="Times New Roman" w:hAnsi="Times New Roman" w:cs="Times New Roman"/>
          <w:sz w:val="24"/>
          <w:szCs w:val="24"/>
        </w:rPr>
        <w:t>PLC n</w:t>
      </w:r>
      <w:r w:rsidRPr="00B24339">
        <w:rPr>
          <w:rFonts w:ascii="Times New Roman" w:hAnsi="Times New Roman" w:cs="Times New Roman"/>
          <w:sz w:val="24"/>
          <w:szCs w:val="24"/>
        </w:rPr>
        <w:t xml:space="preserve">º 07/2018 </w:t>
      </w:r>
      <w:r>
        <w:rPr>
          <w:rFonts w:ascii="Times New Roman" w:hAnsi="Times New Roman" w:cs="Times New Roman"/>
          <w:sz w:val="24"/>
          <w:szCs w:val="24"/>
        </w:rPr>
        <w:t xml:space="preserve">ao Legislativo </w:t>
      </w:r>
      <w:r w:rsidR="006A50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unicipal, neste sentido, </w:t>
      </w:r>
      <w:r w:rsidR="00697AD7">
        <w:rPr>
          <w:rFonts w:ascii="Times New Roman" w:hAnsi="Times New Roman" w:cs="Times New Roman"/>
          <w:sz w:val="24"/>
          <w:szCs w:val="24"/>
        </w:rPr>
        <w:t xml:space="preserve">estaria revestido de </w:t>
      </w:r>
      <w:r w:rsidR="00CE4183">
        <w:rPr>
          <w:rFonts w:ascii="Times New Roman" w:hAnsi="Times New Roman" w:cs="Times New Roman"/>
          <w:sz w:val="24"/>
          <w:szCs w:val="24"/>
        </w:rPr>
        <w:t>mais</w:t>
      </w:r>
      <w:r w:rsidR="00697AD7">
        <w:rPr>
          <w:rFonts w:ascii="Times New Roman" w:hAnsi="Times New Roman" w:cs="Times New Roman"/>
          <w:sz w:val="24"/>
          <w:szCs w:val="24"/>
        </w:rPr>
        <w:t xml:space="preserve"> legitimidade se observasse, antes, a manifestação oficial d</w:t>
      </w:r>
      <w:r w:rsidR="00077A6A">
        <w:rPr>
          <w:rFonts w:ascii="Times New Roman" w:hAnsi="Times New Roman" w:cs="Times New Roman"/>
          <w:sz w:val="24"/>
          <w:szCs w:val="24"/>
        </w:rPr>
        <w:t xml:space="preserve">este </w:t>
      </w:r>
      <w:r w:rsidR="00E97E07" w:rsidRPr="00B24339">
        <w:rPr>
          <w:rFonts w:ascii="Times New Roman" w:hAnsi="Times New Roman" w:cs="Times New Roman"/>
          <w:sz w:val="24"/>
          <w:szCs w:val="24"/>
        </w:rPr>
        <w:t>Conselho.</w:t>
      </w:r>
    </w:p>
    <w:p w:rsidR="00523CE0" w:rsidRPr="00B24339" w:rsidRDefault="00432ACE" w:rsidP="00000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Isso posto, o</w:t>
      </w:r>
      <w:r w:rsidR="00504B67">
        <w:rPr>
          <w:rFonts w:ascii="Times New Roman" w:hAnsi="Times New Roman" w:cs="Times New Roman"/>
          <w:sz w:val="24"/>
          <w:szCs w:val="24"/>
        </w:rPr>
        <w:t xml:space="preserve"> Conselho de Administração do PREVIMPA </w:t>
      </w:r>
      <w:r>
        <w:rPr>
          <w:rFonts w:ascii="Times New Roman" w:hAnsi="Times New Roman" w:cs="Times New Roman"/>
          <w:sz w:val="24"/>
          <w:szCs w:val="24"/>
        </w:rPr>
        <w:t xml:space="preserve">fundamenta </w:t>
      </w:r>
      <w:r w:rsidR="00CE4183">
        <w:rPr>
          <w:rFonts w:ascii="Times New Roman" w:hAnsi="Times New Roman" w:cs="Times New Roman"/>
          <w:sz w:val="24"/>
          <w:szCs w:val="24"/>
        </w:rPr>
        <w:t xml:space="preserve">o parecer desfavorável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48B7">
        <w:rPr>
          <w:rFonts w:ascii="Times New Roman" w:hAnsi="Times New Roman" w:cs="Times New Roman"/>
          <w:sz w:val="24"/>
          <w:szCs w:val="24"/>
        </w:rPr>
        <w:t xml:space="preserve">o </w:t>
      </w:r>
      <w:r w:rsidR="00504B67">
        <w:rPr>
          <w:rFonts w:ascii="Times New Roman" w:hAnsi="Times New Roman" w:cs="Times New Roman"/>
          <w:sz w:val="24"/>
          <w:szCs w:val="24"/>
        </w:rPr>
        <w:t>PLC n</w:t>
      </w:r>
      <w:r w:rsidR="00504B67" w:rsidRPr="00B24339">
        <w:rPr>
          <w:rFonts w:ascii="Times New Roman" w:hAnsi="Times New Roman" w:cs="Times New Roman"/>
          <w:sz w:val="24"/>
          <w:szCs w:val="24"/>
        </w:rPr>
        <w:t>º 07/2018</w:t>
      </w:r>
      <w:r w:rsidR="00504B67">
        <w:rPr>
          <w:rFonts w:ascii="Times New Roman" w:hAnsi="Times New Roman" w:cs="Times New Roman"/>
          <w:sz w:val="24"/>
          <w:szCs w:val="24"/>
        </w:rPr>
        <w:t xml:space="preserve">, </w:t>
      </w:r>
      <w:r w:rsidR="006779B6">
        <w:rPr>
          <w:rFonts w:ascii="Times New Roman" w:hAnsi="Times New Roman" w:cs="Times New Roman"/>
          <w:sz w:val="24"/>
          <w:szCs w:val="24"/>
        </w:rPr>
        <w:t xml:space="preserve">aprovado </w:t>
      </w:r>
      <w:r w:rsidR="004A48B7">
        <w:rPr>
          <w:rFonts w:ascii="Times New Roman" w:hAnsi="Times New Roman" w:cs="Times New Roman"/>
          <w:sz w:val="24"/>
          <w:szCs w:val="24"/>
        </w:rPr>
        <w:t xml:space="preserve">por 15 votos a 3 e 2 abstenções, </w:t>
      </w:r>
      <w:r w:rsidR="00523CE0" w:rsidRPr="00B24339">
        <w:rPr>
          <w:rFonts w:ascii="Times New Roman" w:hAnsi="Times New Roman" w:cs="Times New Roman"/>
          <w:sz w:val="24"/>
          <w:szCs w:val="24"/>
        </w:rPr>
        <w:t xml:space="preserve">nos termos </w:t>
      </w:r>
      <w:r w:rsidR="003D7772">
        <w:rPr>
          <w:rFonts w:ascii="Times New Roman" w:hAnsi="Times New Roman" w:cs="Times New Roman"/>
          <w:sz w:val="24"/>
          <w:szCs w:val="24"/>
        </w:rPr>
        <w:t xml:space="preserve">que </w:t>
      </w:r>
      <w:r w:rsidR="00523CE0" w:rsidRPr="00B24339">
        <w:rPr>
          <w:rFonts w:ascii="Times New Roman" w:hAnsi="Times New Roman" w:cs="Times New Roman"/>
          <w:sz w:val="24"/>
          <w:szCs w:val="24"/>
        </w:rPr>
        <w:t>adiante especifica:</w:t>
      </w:r>
    </w:p>
    <w:p w:rsidR="00CF224C" w:rsidRDefault="001F712D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24339">
        <w:rPr>
          <w:rFonts w:ascii="Times New Roman" w:hAnsi="Times New Roman" w:cs="Times New Roman"/>
          <w:sz w:val="24"/>
          <w:szCs w:val="24"/>
        </w:rPr>
        <w:t xml:space="preserve">à luz dos conceitos </w:t>
      </w:r>
      <w:r w:rsidR="004A48B7">
        <w:rPr>
          <w:rFonts w:ascii="Times New Roman" w:hAnsi="Times New Roman" w:cs="Times New Roman"/>
          <w:sz w:val="24"/>
          <w:szCs w:val="24"/>
        </w:rPr>
        <w:t>insc</w:t>
      </w:r>
      <w:r w:rsidR="006A50C8">
        <w:rPr>
          <w:rFonts w:ascii="Times New Roman" w:hAnsi="Times New Roman" w:cs="Times New Roman"/>
          <w:sz w:val="24"/>
          <w:szCs w:val="24"/>
        </w:rPr>
        <w:t>ulpid</w:t>
      </w:r>
      <w:r w:rsidR="00335275" w:rsidRPr="00B24339">
        <w:rPr>
          <w:rFonts w:ascii="Times New Roman" w:hAnsi="Times New Roman" w:cs="Times New Roman"/>
          <w:sz w:val="24"/>
          <w:szCs w:val="24"/>
        </w:rPr>
        <w:t xml:space="preserve">os </w:t>
      </w:r>
      <w:r w:rsidRPr="00B24339">
        <w:rPr>
          <w:rFonts w:ascii="Times New Roman" w:hAnsi="Times New Roman" w:cs="Times New Roman"/>
          <w:sz w:val="24"/>
          <w:szCs w:val="24"/>
        </w:rPr>
        <w:t>na Constituição Brasileira sobre</w:t>
      </w:r>
      <w:r w:rsidR="00335275" w:rsidRPr="00B24339">
        <w:rPr>
          <w:rFonts w:ascii="Times New Roman" w:hAnsi="Times New Roman" w:cs="Times New Roman"/>
          <w:sz w:val="24"/>
          <w:szCs w:val="24"/>
        </w:rPr>
        <w:t xml:space="preserve"> </w:t>
      </w:r>
      <w:r w:rsidRPr="004B2B7E">
        <w:rPr>
          <w:rFonts w:ascii="Times New Roman" w:hAnsi="Times New Roman" w:cs="Times New Roman"/>
          <w:sz w:val="24"/>
          <w:szCs w:val="24"/>
        </w:rPr>
        <w:t>Previdência</w:t>
      </w:r>
      <w:r w:rsidRPr="00B24339">
        <w:rPr>
          <w:rFonts w:ascii="Times New Roman" w:hAnsi="Times New Roman" w:cs="Times New Roman"/>
          <w:sz w:val="24"/>
          <w:szCs w:val="24"/>
        </w:rPr>
        <w:t xml:space="preserve">, </w:t>
      </w:r>
      <w:r w:rsidR="00CF224C" w:rsidRPr="00B24339">
        <w:rPr>
          <w:rFonts w:ascii="Times New Roman" w:hAnsi="Times New Roman" w:cs="Times New Roman"/>
          <w:sz w:val="24"/>
          <w:szCs w:val="24"/>
        </w:rPr>
        <w:t xml:space="preserve">o </w:t>
      </w:r>
      <w:r w:rsidR="005726D6">
        <w:rPr>
          <w:rFonts w:ascii="Times New Roman" w:hAnsi="Times New Roman" w:cs="Times New Roman"/>
          <w:sz w:val="24"/>
          <w:szCs w:val="24"/>
        </w:rPr>
        <w:t>PLC n</w:t>
      </w:r>
      <w:r w:rsidR="00335275" w:rsidRPr="00B24339">
        <w:rPr>
          <w:rFonts w:ascii="Times New Roman" w:hAnsi="Times New Roman" w:cs="Times New Roman"/>
          <w:sz w:val="24"/>
          <w:szCs w:val="24"/>
        </w:rPr>
        <w:t xml:space="preserve">º </w:t>
      </w:r>
      <w:r w:rsidR="00CF224C" w:rsidRPr="00B24339">
        <w:rPr>
          <w:rFonts w:ascii="Times New Roman" w:hAnsi="Times New Roman" w:cs="Times New Roman"/>
          <w:sz w:val="24"/>
          <w:szCs w:val="24"/>
        </w:rPr>
        <w:t xml:space="preserve">07/2018 não se enquadra como </w:t>
      </w:r>
      <w:r w:rsidR="00697AD7" w:rsidRPr="004B2B7E">
        <w:rPr>
          <w:rFonts w:ascii="Times New Roman" w:hAnsi="Times New Roman" w:cs="Times New Roman"/>
          <w:sz w:val="24"/>
          <w:szCs w:val="24"/>
        </w:rPr>
        <w:t xml:space="preserve">solução </w:t>
      </w:r>
      <w:r w:rsidR="00BE57F1" w:rsidRPr="004B2B7E">
        <w:rPr>
          <w:rFonts w:ascii="Times New Roman" w:hAnsi="Times New Roman" w:cs="Times New Roman"/>
          <w:sz w:val="24"/>
          <w:szCs w:val="24"/>
        </w:rPr>
        <w:t>p</w:t>
      </w:r>
      <w:r w:rsidR="00CF224C" w:rsidRPr="004B2B7E">
        <w:rPr>
          <w:rFonts w:ascii="Times New Roman" w:hAnsi="Times New Roman" w:cs="Times New Roman"/>
          <w:sz w:val="24"/>
          <w:szCs w:val="24"/>
        </w:rPr>
        <w:t>revidenciári</w:t>
      </w:r>
      <w:r w:rsidR="00BE57F1" w:rsidRPr="004B2B7E">
        <w:rPr>
          <w:rFonts w:ascii="Times New Roman" w:hAnsi="Times New Roman" w:cs="Times New Roman"/>
          <w:sz w:val="24"/>
          <w:szCs w:val="24"/>
        </w:rPr>
        <w:t>a</w:t>
      </w:r>
      <w:r w:rsidR="00697AD7" w:rsidRPr="004B2B7E">
        <w:rPr>
          <w:rFonts w:ascii="Times New Roman" w:hAnsi="Times New Roman" w:cs="Times New Roman"/>
          <w:sz w:val="24"/>
          <w:szCs w:val="24"/>
        </w:rPr>
        <w:t xml:space="preserve"> eficiente e</w:t>
      </w:r>
      <w:r w:rsidR="004B2B7E" w:rsidRPr="004B2B7E">
        <w:rPr>
          <w:rFonts w:ascii="Times New Roman" w:hAnsi="Times New Roman" w:cs="Times New Roman"/>
          <w:sz w:val="24"/>
          <w:szCs w:val="24"/>
        </w:rPr>
        <w:t>, sobretudo,</w:t>
      </w:r>
      <w:r w:rsidR="00697AD7" w:rsidRPr="004B2B7E">
        <w:rPr>
          <w:rFonts w:ascii="Times New Roman" w:hAnsi="Times New Roman" w:cs="Times New Roman"/>
          <w:sz w:val="24"/>
          <w:szCs w:val="24"/>
        </w:rPr>
        <w:t xml:space="preserve"> sustentável</w:t>
      </w:r>
      <w:r w:rsidR="004B2B7E">
        <w:rPr>
          <w:rFonts w:ascii="Times New Roman" w:hAnsi="Times New Roman" w:cs="Times New Roman"/>
          <w:sz w:val="24"/>
          <w:szCs w:val="24"/>
        </w:rPr>
        <w:t xml:space="preserve">. Parece ser, antes disso, </w:t>
      </w:r>
      <w:r w:rsidR="00BE57F1" w:rsidRPr="00B24339">
        <w:rPr>
          <w:rFonts w:ascii="Times New Roman" w:hAnsi="Times New Roman" w:cs="Times New Roman"/>
          <w:sz w:val="24"/>
          <w:szCs w:val="24"/>
        </w:rPr>
        <w:t xml:space="preserve">um </w:t>
      </w:r>
      <w:r w:rsidR="004B2B7E">
        <w:rPr>
          <w:rFonts w:ascii="Times New Roman" w:hAnsi="Times New Roman" w:cs="Times New Roman"/>
          <w:sz w:val="24"/>
          <w:szCs w:val="24"/>
        </w:rPr>
        <w:t>produto semelhante às</w:t>
      </w:r>
      <w:r w:rsidR="00804FED" w:rsidRPr="00B24339">
        <w:rPr>
          <w:rFonts w:ascii="Times New Roman" w:hAnsi="Times New Roman" w:cs="Times New Roman"/>
          <w:sz w:val="24"/>
          <w:szCs w:val="24"/>
        </w:rPr>
        <w:t xml:space="preserve"> </w:t>
      </w:r>
      <w:r w:rsidR="007E584C">
        <w:rPr>
          <w:rFonts w:ascii="Times New Roman" w:hAnsi="Times New Roman" w:cs="Times New Roman"/>
          <w:sz w:val="24"/>
          <w:szCs w:val="24"/>
        </w:rPr>
        <w:t>múltiplas</w:t>
      </w:r>
      <w:r w:rsidR="00804FED" w:rsidRPr="00B24339">
        <w:rPr>
          <w:rFonts w:ascii="Times New Roman" w:hAnsi="Times New Roman" w:cs="Times New Roman"/>
          <w:sz w:val="24"/>
          <w:szCs w:val="24"/>
        </w:rPr>
        <w:t xml:space="preserve"> modalidades de</w:t>
      </w:r>
      <w:r w:rsidR="00CF224C" w:rsidRPr="00B24339">
        <w:rPr>
          <w:rFonts w:ascii="Times New Roman" w:hAnsi="Times New Roman" w:cs="Times New Roman"/>
          <w:sz w:val="24"/>
          <w:szCs w:val="24"/>
        </w:rPr>
        <w:t xml:space="preserve"> investimento</w:t>
      </w:r>
      <w:r w:rsidR="00697AD7">
        <w:rPr>
          <w:rFonts w:ascii="Times New Roman" w:hAnsi="Times New Roman" w:cs="Times New Roman"/>
          <w:sz w:val="24"/>
          <w:szCs w:val="24"/>
        </w:rPr>
        <w:t>s</w:t>
      </w:r>
      <w:r w:rsidR="00DE5A89" w:rsidRPr="00B24339">
        <w:rPr>
          <w:rFonts w:ascii="Times New Roman" w:hAnsi="Times New Roman" w:cs="Times New Roman"/>
          <w:sz w:val="24"/>
          <w:szCs w:val="24"/>
        </w:rPr>
        <w:t xml:space="preserve"> </w:t>
      </w:r>
      <w:r w:rsidR="007E584C">
        <w:rPr>
          <w:rFonts w:ascii="Times New Roman" w:hAnsi="Times New Roman" w:cs="Times New Roman"/>
          <w:sz w:val="24"/>
          <w:szCs w:val="24"/>
        </w:rPr>
        <w:t xml:space="preserve">oferecidas </w:t>
      </w:r>
      <w:r w:rsidR="00DE5A89" w:rsidRPr="00B24339">
        <w:rPr>
          <w:rFonts w:ascii="Times New Roman" w:hAnsi="Times New Roman" w:cs="Times New Roman"/>
          <w:sz w:val="24"/>
          <w:szCs w:val="24"/>
        </w:rPr>
        <w:t>no mercado financeiro e bancário nacional</w:t>
      </w:r>
      <w:r w:rsidR="003D7772">
        <w:rPr>
          <w:rFonts w:ascii="Times New Roman" w:hAnsi="Times New Roman" w:cs="Times New Roman"/>
          <w:sz w:val="24"/>
          <w:szCs w:val="24"/>
        </w:rPr>
        <w:t xml:space="preserve"> </w:t>
      </w:r>
      <w:r w:rsidR="005111DD">
        <w:rPr>
          <w:rFonts w:ascii="Times New Roman" w:hAnsi="Times New Roman" w:cs="Times New Roman"/>
          <w:sz w:val="24"/>
          <w:szCs w:val="24"/>
        </w:rPr>
        <w:t>que</w:t>
      </w:r>
      <w:r w:rsidR="00697AD7">
        <w:rPr>
          <w:rFonts w:ascii="Times New Roman" w:hAnsi="Times New Roman" w:cs="Times New Roman"/>
          <w:sz w:val="24"/>
          <w:szCs w:val="24"/>
        </w:rPr>
        <w:t xml:space="preserve">, </w:t>
      </w:r>
      <w:r w:rsidR="00263F33">
        <w:rPr>
          <w:rFonts w:ascii="Times New Roman" w:hAnsi="Times New Roman" w:cs="Times New Roman"/>
          <w:sz w:val="24"/>
          <w:szCs w:val="24"/>
        </w:rPr>
        <w:t>inclusive</w:t>
      </w:r>
      <w:r w:rsidR="003D7772">
        <w:rPr>
          <w:rFonts w:ascii="Times New Roman" w:hAnsi="Times New Roman" w:cs="Times New Roman"/>
          <w:sz w:val="24"/>
          <w:szCs w:val="24"/>
        </w:rPr>
        <w:t>,</w:t>
      </w:r>
      <w:r w:rsidR="00263F33">
        <w:rPr>
          <w:rFonts w:ascii="Times New Roman" w:hAnsi="Times New Roman" w:cs="Times New Roman"/>
          <w:sz w:val="24"/>
          <w:szCs w:val="24"/>
        </w:rPr>
        <w:t xml:space="preserve"> </w:t>
      </w:r>
      <w:r w:rsidR="005111DD">
        <w:rPr>
          <w:rFonts w:ascii="Times New Roman" w:hAnsi="Times New Roman" w:cs="Times New Roman"/>
          <w:sz w:val="24"/>
          <w:szCs w:val="24"/>
        </w:rPr>
        <w:t>adotam</w:t>
      </w:r>
      <w:r w:rsidR="003D7772">
        <w:rPr>
          <w:rFonts w:ascii="Times New Roman" w:hAnsi="Times New Roman" w:cs="Times New Roman"/>
          <w:sz w:val="24"/>
          <w:szCs w:val="24"/>
        </w:rPr>
        <w:t xml:space="preserve"> a</w:t>
      </w:r>
      <w:r w:rsidR="005111DD">
        <w:rPr>
          <w:rFonts w:ascii="Times New Roman" w:hAnsi="Times New Roman" w:cs="Times New Roman"/>
          <w:sz w:val="24"/>
          <w:szCs w:val="24"/>
        </w:rPr>
        <w:t xml:space="preserve"> idêntica denominação de </w:t>
      </w:r>
      <w:r w:rsidR="00697AD7" w:rsidRPr="00697AD7">
        <w:rPr>
          <w:rFonts w:ascii="Times New Roman" w:hAnsi="Times New Roman" w:cs="Times New Roman"/>
          <w:sz w:val="24"/>
          <w:szCs w:val="24"/>
        </w:rPr>
        <w:t>“</w:t>
      </w:r>
      <w:r w:rsidR="005111DD" w:rsidRPr="004B2B7E">
        <w:rPr>
          <w:rFonts w:ascii="Times New Roman" w:hAnsi="Times New Roman" w:cs="Times New Roman"/>
          <w:i/>
          <w:sz w:val="24"/>
          <w:szCs w:val="24"/>
        </w:rPr>
        <w:t>Previdência Complementar</w:t>
      </w:r>
      <w:r w:rsidR="005111DD">
        <w:rPr>
          <w:rFonts w:ascii="Times New Roman" w:hAnsi="Times New Roman" w:cs="Times New Roman"/>
          <w:sz w:val="24"/>
          <w:szCs w:val="24"/>
        </w:rPr>
        <w:t>”</w:t>
      </w:r>
      <w:r w:rsidR="00CF224C" w:rsidRPr="00B24339">
        <w:rPr>
          <w:rFonts w:ascii="Times New Roman" w:hAnsi="Times New Roman" w:cs="Times New Roman"/>
          <w:sz w:val="24"/>
          <w:szCs w:val="24"/>
        </w:rPr>
        <w:t>;</w:t>
      </w:r>
    </w:p>
    <w:p w:rsidR="007B3B37" w:rsidRPr="00270431" w:rsidRDefault="007B3B37" w:rsidP="002C7DDF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B3B37">
        <w:rPr>
          <w:rFonts w:ascii="Times New Roman" w:hAnsi="Times New Roman" w:cs="Times New Roman"/>
          <w:sz w:val="24"/>
          <w:szCs w:val="24"/>
        </w:rPr>
        <w:t xml:space="preserve">o Artigo 6º </w:t>
      </w:r>
      <w:r>
        <w:rPr>
          <w:rFonts w:ascii="Times New Roman" w:hAnsi="Times New Roman" w:cs="Times New Roman"/>
          <w:sz w:val="24"/>
          <w:szCs w:val="24"/>
        </w:rPr>
        <w:t xml:space="preserve">alude à adesão de outros entes federados, </w:t>
      </w:r>
      <w:r w:rsidR="000C5FEF">
        <w:rPr>
          <w:rFonts w:ascii="Times New Roman" w:hAnsi="Times New Roman" w:cs="Times New Roman"/>
          <w:sz w:val="24"/>
          <w:szCs w:val="24"/>
        </w:rPr>
        <w:t>previs</w:t>
      </w:r>
      <w:r>
        <w:rPr>
          <w:rFonts w:ascii="Times New Roman" w:hAnsi="Times New Roman" w:cs="Times New Roman"/>
          <w:sz w:val="24"/>
          <w:szCs w:val="24"/>
        </w:rPr>
        <w:t xml:space="preserve">ão que reforça a característica de negócio financeiro, ao invés de plano previdenciário: </w:t>
      </w:r>
      <w:r w:rsidRPr="007B3B37">
        <w:rPr>
          <w:rFonts w:ascii="Times New Roman" w:hAnsi="Times New Roman" w:cs="Times New Roman"/>
          <w:sz w:val="24"/>
          <w:szCs w:val="24"/>
        </w:rPr>
        <w:t>“</w:t>
      </w:r>
      <w:r w:rsidRPr="007B3B37">
        <w:rPr>
          <w:rFonts w:ascii="Times New Roman" w:eastAsia="Times New Roman" w:hAnsi="Times New Roman"/>
          <w:i/>
          <w:sz w:val="24"/>
          <w:szCs w:val="24"/>
        </w:rPr>
        <w:t>XII – Patrocinador: a) o Município de Porto Alegre por meio de sua administração direta, autarquias, fundações públicas, Câmara Municipal; e b) demais entes federados que mediante prévia autorização legal venham a formalizar Convênio de Adesão com a POAPrev</w:t>
      </w:r>
      <w:r>
        <w:rPr>
          <w:rFonts w:ascii="Times New Roman" w:eastAsia="Times New Roman" w:hAnsi="Times New Roman"/>
          <w:sz w:val="24"/>
          <w:szCs w:val="24"/>
        </w:rPr>
        <w:t>”;</w:t>
      </w:r>
    </w:p>
    <w:p w:rsidR="008D4DB5" w:rsidRDefault="00B7758D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depreende-se do </w:t>
      </w:r>
      <w:r w:rsidR="00DE5A89" w:rsidRPr="00B243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rojeto</w:t>
      </w:r>
      <w:r w:rsidR="00DA394F">
        <w:rPr>
          <w:rFonts w:ascii="Times New Roman" w:hAnsi="Times New Roman" w:cs="Times New Roman"/>
          <w:sz w:val="24"/>
          <w:szCs w:val="24"/>
        </w:rPr>
        <w:t>,</w:t>
      </w:r>
      <w:r w:rsidR="00BE57F1" w:rsidRPr="00B24339">
        <w:rPr>
          <w:rFonts w:ascii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hAnsi="Times New Roman" w:cs="Times New Roman"/>
          <w:sz w:val="24"/>
          <w:szCs w:val="24"/>
        </w:rPr>
        <w:t xml:space="preserve">adquirentes do produto </w:t>
      </w:r>
      <w:r w:rsidR="00EA31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</w:t>
      </w:r>
      <w:r w:rsidR="00EA3165">
        <w:rPr>
          <w:rFonts w:ascii="Times New Roman" w:hAnsi="Times New Roman" w:cs="Times New Roman"/>
          <w:sz w:val="24"/>
          <w:szCs w:val="24"/>
        </w:rPr>
        <w:t xml:space="preserve">ão </w:t>
      </w:r>
      <w:r w:rsidR="008D4DB5" w:rsidRPr="00040985">
        <w:rPr>
          <w:rFonts w:ascii="Times New Roman" w:hAnsi="Times New Roman" w:cs="Times New Roman"/>
          <w:sz w:val="24"/>
          <w:szCs w:val="24"/>
        </w:rPr>
        <w:t>investidores</w:t>
      </w:r>
      <w:r w:rsidR="008D4DB5" w:rsidRPr="00B24339">
        <w:rPr>
          <w:rFonts w:ascii="Times New Roman" w:hAnsi="Times New Roman" w:cs="Times New Roman"/>
          <w:sz w:val="24"/>
          <w:szCs w:val="24"/>
        </w:rPr>
        <w:t xml:space="preserve"> [não segurados] que realizam </w:t>
      </w:r>
      <w:r w:rsidR="00296EF2" w:rsidRPr="00040985">
        <w:rPr>
          <w:rFonts w:ascii="Times New Roman" w:hAnsi="Times New Roman" w:cs="Times New Roman"/>
          <w:sz w:val="24"/>
          <w:szCs w:val="24"/>
        </w:rPr>
        <w:t>resgates individuais</w:t>
      </w:r>
      <w:r w:rsidR="00296EF2" w:rsidRPr="00B24339">
        <w:rPr>
          <w:rFonts w:ascii="Times New Roman" w:hAnsi="Times New Roman" w:cs="Times New Roman"/>
          <w:sz w:val="24"/>
          <w:szCs w:val="24"/>
        </w:rPr>
        <w:t xml:space="preserve"> [não </w:t>
      </w:r>
      <w:r w:rsidR="008D4DB5" w:rsidRPr="00B24339">
        <w:rPr>
          <w:rFonts w:ascii="Times New Roman" w:hAnsi="Times New Roman" w:cs="Times New Roman"/>
          <w:sz w:val="24"/>
          <w:szCs w:val="24"/>
        </w:rPr>
        <w:t xml:space="preserve">recebem </w:t>
      </w:r>
      <w:r w:rsidR="00296EF2" w:rsidRPr="00B24339">
        <w:rPr>
          <w:rFonts w:ascii="Times New Roman" w:hAnsi="Times New Roman" w:cs="Times New Roman"/>
          <w:sz w:val="24"/>
          <w:szCs w:val="24"/>
        </w:rPr>
        <w:t xml:space="preserve">benefícios] </w:t>
      </w:r>
      <w:r w:rsidR="00EA0046" w:rsidRPr="00B24339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296EF2" w:rsidRPr="00B24339">
        <w:rPr>
          <w:rFonts w:ascii="Times New Roman" w:hAnsi="Times New Roman" w:cs="Times New Roman"/>
          <w:sz w:val="24"/>
          <w:szCs w:val="24"/>
        </w:rPr>
        <w:t>o limite do “</w:t>
      </w:r>
      <w:r w:rsidR="00296EF2" w:rsidRPr="00B7758D">
        <w:rPr>
          <w:rFonts w:ascii="Times New Roman" w:hAnsi="Times New Roman" w:cs="Times New Roman"/>
          <w:i/>
          <w:sz w:val="24"/>
          <w:szCs w:val="24"/>
        </w:rPr>
        <w:t>saldo em conta do participante</w:t>
      </w:r>
      <w:r w:rsidR="00296EF2" w:rsidRPr="00B24339">
        <w:rPr>
          <w:rFonts w:ascii="Times New Roman" w:hAnsi="Times New Roman" w:cs="Times New Roman"/>
          <w:sz w:val="24"/>
          <w:szCs w:val="24"/>
        </w:rPr>
        <w:t>” [inciso XVII do Artigo 6º do PL]</w:t>
      </w:r>
      <w:r w:rsidR="008D4DB5" w:rsidRPr="00B24339">
        <w:rPr>
          <w:rFonts w:ascii="Times New Roman" w:hAnsi="Times New Roman" w:cs="Times New Roman"/>
          <w:sz w:val="24"/>
          <w:szCs w:val="24"/>
        </w:rPr>
        <w:t>;</w:t>
      </w:r>
    </w:p>
    <w:p w:rsidR="00DA3EF6" w:rsidRDefault="00DA394F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A3EF6">
        <w:rPr>
          <w:rFonts w:ascii="Times New Roman" w:hAnsi="Times New Roman" w:cs="Times New Roman"/>
          <w:sz w:val="24"/>
          <w:szCs w:val="24"/>
        </w:rPr>
        <w:t>o parágrafo 1º do Artigo 25 defin</w:t>
      </w:r>
      <w:r w:rsidR="00B7758D">
        <w:rPr>
          <w:rFonts w:ascii="Times New Roman" w:hAnsi="Times New Roman" w:cs="Times New Roman"/>
          <w:sz w:val="24"/>
          <w:szCs w:val="24"/>
        </w:rPr>
        <w:t>e</w:t>
      </w:r>
      <w:r w:rsidRPr="00DA3EF6">
        <w:rPr>
          <w:rFonts w:ascii="Times New Roman" w:hAnsi="Times New Roman" w:cs="Times New Roman"/>
          <w:sz w:val="24"/>
          <w:szCs w:val="24"/>
        </w:rPr>
        <w:t xml:space="preserve"> que “</w:t>
      </w:r>
      <w:r w:rsidRPr="00B7758D">
        <w:rPr>
          <w:rFonts w:ascii="Times New Roman" w:hAnsi="Times New Roman" w:cs="Times New Roman"/>
          <w:i/>
          <w:color w:val="000000"/>
          <w:sz w:val="24"/>
          <w:szCs w:val="24"/>
        </w:rPr>
        <w:t>os benefícios serão estruturados na modalidade de Contribuição Definida e calculado</w:t>
      </w:r>
      <w:r w:rsidRPr="00B7758D">
        <w:rPr>
          <w:i/>
          <w:color w:val="000000"/>
        </w:rPr>
        <w:t>s</w:t>
      </w:r>
      <w:r w:rsidRPr="00B77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acordo com o saldo da conta individual</w:t>
      </w:r>
      <w:r w:rsidRPr="00B7758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7758D">
        <w:rPr>
          <w:rFonts w:ascii="Times New Roman" w:hAnsi="Times New Roman" w:cs="Times New Roman"/>
          <w:color w:val="000000"/>
          <w:sz w:val="24"/>
          <w:szCs w:val="24"/>
        </w:rPr>
        <w:t xml:space="preserve">. Isso </w:t>
      </w:r>
      <w:r w:rsidR="00DA3EF6" w:rsidRPr="00B7758D">
        <w:rPr>
          <w:rFonts w:ascii="Times New Roman" w:hAnsi="Times New Roman" w:cs="Times New Roman"/>
          <w:color w:val="000000"/>
          <w:sz w:val="24"/>
          <w:szCs w:val="24"/>
        </w:rPr>
        <w:t xml:space="preserve">significa que, </w:t>
      </w:r>
      <w:r w:rsidR="00B24339" w:rsidRPr="00B7758D">
        <w:rPr>
          <w:rFonts w:ascii="Times New Roman" w:hAnsi="Times New Roman" w:cs="Times New Roman"/>
          <w:sz w:val="24"/>
          <w:szCs w:val="24"/>
        </w:rPr>
        <w:t xml:space="preserve">uma vez </w:t>
      </w:r>
      <w:r w:rsidR="00B12D14" w:rsidRPr="00B7758D">
        <w:rPr>
          <w:rFonts w:ascii="Times New Roman" w:hAnsi="Times New Roman" w:cs="Times New Roman"/>
          <w:sz w:val="24"/>
          <w:szCs w:val="24"/>
        </w:rPr>
        <w:t>find</w:t>
      </w:r>
      <w:r w:rsidR="00B24339" w:rsidRPr="00B7758D">
        <w:rPr>
          <w:rFonts w:ascii="Times New Roman" w:hAnsi="Times New Roman" w:cs="Times New Roman"/>
          <w:sz w:val="24"/>
          <w:szCs w:val="24"/>
        </w:rPr>
        <w:t>o o “</w:t>
      </w:r>
      <w:r w:rsidR="00B24339" w:rsidRPr="00B7758D">
        <w:rPr>
          <w:rFonts w:ascii="Times New Roman" w:hAnsi="Times New Roman" w:cs="Times New Roman"/>
          <w:i/>
          <w:sz w:val="24"/>
          <w:szCs w:val="24"/>
        </w:rPr>
        <w:t>saldo em conta do participante</w:t>
      </w:r>
      <w:r w:rsidR="00B24339" w:rsidRPr="00B7758D">
        <w:rPr>
          <w:rFonts w:ascii="Times New Roman" w:hAnsi="Times New Roman" w:cs="Times New Roman"/>
          <w:sz w:val="24"/>
          <w:szCs w:val="24"/>
        </w:rPr>
        <w:t xml:space="preserve">”, extinguem-se totalmente os resgates individuais, independentemente do tempo de vida </w:t>
      </w:r>
      <w:r w:rsidR="00B12D14" w:rsidRPr="00B7758D">
        <w:rPr>
          <w:rFonts w:ascii="Times New Roman" w:hAnsi="Times New Roman" w:cs="Times New Roman"/>
          <w:sz w:val="24"/>
          <w:szCs w:val="24"/>
        </w:rPr>
        <w:t xml:space="preserve">que </w:t>
      </w:r>
      <w:r w:rsidR="00B24339" w:rsidRPr="00B7758D">
        <w:rPr>
          <w:rFonts w:ascii="Times New Roman" w:hAnsi="Times New Roman" w:cs="Times New Roman"/>
          <w:sz w:val="24"/>
          <w:szCs w:val="24"/>
        </w:rPr>
        <w:t xml:space="preserve">o investidor </w:t>
      </w:r>
      <w:r w:rsidR="00B12D14" w:rsidRPr="00B7758D">
        <w:rPr>
          <w:rFonts w:ascii="Times New Roman" w:hAnsi="Times New Roman" w:cs="Times New Roman"/>
          <w:sz w:val="24"/>
          <w:szCs w:val="24"/>
        </w:rPr>
        <w:t xml:space="preserve">terá quando acabar o </w:t>
      </w:r>
      <w:r w:rsidR="00FC2B99" w:rsidRPr="00B7758D">
        <w:rPr>
          <w:rFonts w:ascii="Times New Roman" w:hAnsi="Times New Roman" w:cs="Times New Roman"/>
          <w:sz w:val="24"/>
          <w:szCs w:val="24"/>
        </w:rPr>
        <w:t>“</w:t>
      </w:r>
      <w:r w:rsidR="00FC2B99" w:rsidRPr="00B7758D">
        <w:rPr>
          <w:rFonts w:ascii="Times New Roman" w:hAnsi="Times New Roman" w:cs="Times New Roman"/>
          <w:i/>
          <w:sz w:val="24"/>
          <w:szCs w:val="24"/>
        </w:rPr>
        <w:t>saldo em conta do participante</w:t>
      </w:r>
      <w:r w:rsidR="00FC2B99" w:rsidRPr="00B7758D">
        <w:rPr>
          <w:rFonts w:ascii="Times New Roman" w:hAnsi="Times New Roman" w:cs="Times New Roman"/>
          <w:sz w:val="24"/>
          <w:szCs w:val="24"/>
        </w:rPr>
        <w:t>”</w:t>
      </w:r>
      <w:r w:rsidR="004A48B7">
        <w:rPr>
          <w:rFonts w:ascii="Times New Roman" w:hAnsi="Times New Roman" w:cs="Times New Roman"/>
          <w:sz w:val="24"/>
          <w:szCs w:val="24"/>
        </w:rPr>
        <w:t>, salvo benefício de risco</w:t>
      </w:r>
      <w:r w:rsidR="007E584C">
        <w:rPr>
          <w:rFonts w:ascii="Times New Roman" w:hAnsi="Times New Roman" w:cs="Times New Roman"/>
          <w:sz w:val="24"/>
          <w:szCs w:val="24"/>
        </w:rPr>
        <w:t>;</w:t>
      </w:r>
    </w:p>
    <w:p w:rsidR="004A48B7" w:rsidRDefault="004A48B7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parágrafo 1º do Artigo 2 estabelece que “</w:t>
      </w:r>
      <w:r w:rsidRPr="004A48B7">
        <w:rPr>
          <w:rFonts w:ascii="Times New Roman" w:hAnsi="Times New Roman" w:cs="Times New Roman"/>
          <w:i/>
          <w:sz w:val="24"/>
          <w:szCs w:val="24"/>
        </w:rPr>
        <w:t xml:space="preserve">A inscrição no respectivo plano de benefícios será </w:t>
      </w:r>
      <w:r w:rsidRPr="004A48B7">
        <w:rPr>
          <w:rFonts w:ascii="Times New Roman" w:hAnsi="Times New Roman" w:cs="Times New Roman"/>
          <w:i/>
          <w:sz w:val="24"/>
          <w:szCs w:val="24"/>
          <w:u w:val="single"/>
        </w:rPr>
        <w:t>automática</w:t>
      </w:r>
      <w:r w:rsidRPr="004A48B7">
        <w:rPr>
          <w:rFonts w:ascii="Times New Roman" w:hAnsi="Times New Roman" w:cs="Times New Roman"/>
          <w:i/>
          <w:sz w:val="24"/>
          <w:szCs w:val="24"/>
        </w:rPr>
        <w:t>, [...]</w:t>
      </w:r>
      <w:r>
        <w:rPr>
          <w:rFonts w:ascii="Times New Roman" w:hAnsi="Times New Roman" w:cs="Times New Roman"/>
          <w:sz w:val="24"/>
          <w:szCs w:val="24"/>
        </w:rPr>
        <w:t>”. Mesmo que o parágrafo seguinte inform</w:t>
      </w:r>
      <w:r w:rsidR="000A7D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que o participante pode requerer a qualquer tempo o cancelamento da inscrição, o servidor pode nem se dar conta da alternativa que lhe é dada. A previdência complementar deveria ser uma opção e o servidor somente iria aderir em caso de estar convencido de ser vantajoso.</w:t>
      </w:r>
    </w:p>
    <w:p w:rsidR="00031C94" w:rsidRPr="00031C94" w:rsidRDefault="00B24339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Executivo propõe a criação d</w:t>
      </w:r>
      <w:r w:rsidR="00B7758D">
        <w:rPr>
          <w:rFonts w:ascii="Times New Roman" w:hAnsi="Times New Roman" w:cs="Times New Roman"/>
          <w:sz w:val="24"/>
          <w:szCs w:val="24"/>
        </w:rPr>
        <w:t xml:space="preserve">a POAPrev, </w:t>
      </w:r>
      <w:r>
        <w:rPr>
          <w:rFonts w:ascii="Times New Roman" w:hAnsi="Times New Roman" w:cs="Times New Roman"/>
          <w:sz w:val="24"/>
          <w:szCs w:val="24"/>
        </w:rPr>
        <w:t>fundação de direito privado</w:t>
      </w:r>
      <w:r w:rsidR="00B12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B7758D">
        <w:rPr>
          <w:rFonts w:ascii="Times New Roman" w:hAnsi="Times New Roman" w:cs="Times New Roman"/>
          <w:sz w:val="24"/>
          <w:szCs w:val="24"/>
        </w:rPr>
        <w:t>a gestão do sistema. O</w:t>
      </w:r>
      <w:r w:rsidR="00B12D14">
        <w:rPr>
          <w:rFonts w:ascii="Times New Roman" w:hAnsi="Times New Roman" w:cs="Times New Roman"/>
          <w:sz w:val="24"/>
          <w:szCs w:val="24"/>
        </w:rPr>
        <w:t xml:space="preserve"> POAPrev receberá </w:t>
      </w:r>
      <w:r w:rsidR="005111DD">
        <w:rPr>
          <w:rFonts w:ascii="Times New Roman" w:hAnsi="Times New Roman" w:cs="Times New Roman"/>
          <w:sz w:val="24"/>
          <w:szCs w:val="24"/>
        </w:rPr>
        <w:t xml:space="preserve">R$ 10 milhões de “adiantamento” </w:t>
      </w:r>
      <w:r w:rsidR="00B7758D">
        <w:rPr>
          <w:rFonts w:ascii="Times New Roman" w:hAnsi="Times New Roman" w:cs="Times New Roman"/>
          <w:sz w:val="24"/>
          <w:szCs w:val="24"/>
        </w:rPr>
        <w:t>orçamentário</w:t>
      </w:r>
      <w:r w:rsidR="00B12D14">
        <w:rPr>
          <w:rFonts w:ascii="Times New Roman" w:hAnsi="Times New Roman" w:cs="Times New Roman"/>
          <w:sz w:val="24"/>
          <w:szCs w:val="24"/>
        </w:rPr>
        <w:t>, que “</w:t>
      </w:r>
      <w:r w:rsidR="00B12D14" w:rsidRPr="00B12D14">
        <w:rPr>
          <w:rFonts w:ascii="Times New Roman" w:eastAsia="Times New Roman" w:hAnsi="Times New Roman"/>
          <w:i/>
          <w:sz w:val="24"/>
          <w:szCs w:val="24"/>
        </w:rPr>
        <w:t>serão devolvidos ao Município após implementado o respectivo plano de benefícios previdenciários</w:t>
      </w:r>
      <w:r w:rsidR="00B12D14">
        <w:rPr>
          <w:rFonts w:ascii="Times New Roman" w:eastAsia="Times New Roman" w:hAnsi="Times New Roman"/>
          <w:sz w:val="24"/>
          <w:szCs w:val="24"/>
        </w:rPr>
        <w:t xml:space="preserve">”. Não consta, todavia, projeção econômico-financeira </w:t>
      </w:r>
      <w:r w:rsidR="00BB7C22">
        <w:rPr>
          <w:rFonts w:ascii="Times New Roman" w:eastAsia="Times New Roman" w:hAnsi="Times New Roman"/>
          <w:sz w:val="24"/>
          <w:szCs w:val="24"/>
        </w:rPr>
        <w:t>ou demonstrativo de estudo sobre a sustentabilidade d</w:t>
      </w:r>
      <w:r w:rsidR="00B12D14">
        <w:rPr>
          <w:rFonts w:ascii="Times New Roman" w:eastAsia="Times New Roman" w:hAnsi="Times New Roman"/>
          <w:sz w:val="24"/>
          <w:szCs w:val="24"/>
        </w:rPr>
        <w:t>o POAPrev</w:t>
      </w:r>
      <w:r w:rsidR="005111DD">
        <w:rPr>
          <w:rFonts w:ascii="Times New Roman" w:eastAsia="Times New Roman" w:hAnsi="Times New Roman"/>
          <w:sz w:val="24"/>
          <w:szCs w:val="24"/>
        </w:rPr>
        <w:t xml:space="preserve"> mais além da estimativa de que o custo anual da entidade alcançará R$ 4 milhões a partir do terceiro ano de existência</w:t>
      </w:r>
      <w:r w:rsidR="00031C94">
        <w:rPr>
          <w:rFonts w:ascii="Times New Roman" w:eastAsia="Times New Roman" w:hAnsi="Times New Roman"/>
          <w:sz w:val="24"/>
          <w:szCs w:val="24"/>
        </w:rPr>
        <w:t xml:space="preserve">, dos quais 31,46% </w:t>
      </w:r>
      <w:r w:rsidR="00A96E34">
        <w:rPr>
          <w:rFonts w:ascii="Times New Roman" w:eastAsia="Times New Roman" w:hAnsi="Times New Roman"/>
          <w:sz w:val="24"/>
          <w:szCs w:val="24"/>
        </w:rPr>
        <w:t xml:space="preserve">[R$ 1,276 milhão] </w:t>
      </w:r>
      <w:r w:rsidR="00031C94">
        <w:rPr>
          <w:rFonts w:ascii="Times New Roman" w:eastAsia="Times New Roman" w:hAnsi="Times New Roman"/>
          <w:sz w:val="24"/>
          <w:szCs w:val="24"/>
        </w:rPr>
        <w:t>ser</w:t>
      </w:r>
      <w:r w:rsidR="00A96E34">
        <w:rPr>
          <w:rFonts w:ascii="Times New Roman" w:eastAsia="Times New Roman" w:hAnsi="Times New Roman"/>
          <w:sz w:val="24"/>
          <w:szCs w:val="24"/>
        </w:rPr>
        <w:t>á</w:t>
      </w:r>
      <w:r w:rsidR="00031C94">
        <w:rPr>
          <w:rFonts w:ascii="Times New Roman" w:eastAsia="Times New Roman" w:hAnsi="Times New Roman"/>
          <w:sz w:val="24"/>
          <w:szCs w:val="24"/>
        </w:rPr>
        <w:t xml:space="preserve"> consumido </w:t>
      </w:r>
      <w:r w:rsidR="00A96E34">
        <w:rPr>
          <w:rFonts w:ascii="Times New Roman" w:eastAsia="Times New Roman" w:hAnsi="Times New Roman"/>
          <w:sz w:val="24"/>
          <w:szCs w:val="24"/>
        </w:rPr>
        <w:t xml:space="preserve">somente </w:t>
      </w:r>
      <w:r w:rsidR="00031C94">
        <w:rPr>
          <w:rFonts w:ascii="Times New Roman" w:eastAsia="Times New Roman" w:hAnsi="Times New Roman"/>
          <w:sz w:val="24"/>
          <w:szCs w:val="24"/>
        </w:rPr>
        <w:t xml:space="preserve">para a remuneração de </w:t>
      </w:r>
      <w:r w:rsidR="00A96E34">
        <w:rPr>
          <w:rFonts w:ascii="Times New Roman" w:eastAsia="Times New Roman" w:hAnsi="Times New Roman"/>
          <w:sz w:val="24"/>
          <w:szCs w:val="24"/>
        </w:rPr>
        <w:t>apenas</w:t>
      </w:r>
      <w:r w:rsidR="00031C94">
        <w:rPr>
          <w:rFonts w:ascii="Times New Roman" w:eastAsia="Times New Roman" w:hAnsi="Times New Roman"/>
          <w:sz w:val="24"/>
          <w:szCs w:val="24"/>
        </w:rPr>
        <w:t xml:space="preserve"> 4 Diretores-Executivos indicados pelo Prefeito Municipal;</w:t>
      </w:r>
    </w:p>
    <w:p w:rsidR="00936259" w:rsidRPr="00306638" w:rsidRDefault="004057BA" w:rsidP="00544A6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936259">
        <w:rPr>
          <w:rFonts w:ascii="Times New Roman" w:eastAsia="Times New Roman" w:hAnsi="Times New Roman"/>
          <w:sz w:val="24"/>
          <w:szCs w:val="24"/>
        </w:rPr>
        <w:t xml:space="preserve">o Executivo </w:t>
      </w:r>
      <w:r w:rsidR="00B7758D" w:rsidRPr="00936259">
        <w:rPr>
          <w:rFonts w:ascii="Times New Roman" w:eastAsia="Times New Roman" w:hAnsi="Times New Roman"/>
          <w:sz w:val="24"/>
          <w:szCs w:val="24"/>
        </w:rPr>
        <w:t xml:space="preserve">justifica 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que </w:t>
      </w:r>
      <w:r w:rsidR="00B7758D" w:rsidRPr="00936259">
        <w:rPr>
          <w:rFonts w:ascii="Times New Roman" w:eastAsia="Times New Roman" w:hAnsi="Times New Roman"/>
          <w:sz w:val="24"/>
          <w:szCs w:val="24"/>
        </w:rPr>
        <w:t xml:space="preserve">o PL 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ajuda </w:t>
      </w:r>
      <w:r w:rsidR="00B7758D" w:rsidRPr="00936259">
        <w:rPr>
          <w:rFonts w:ascii="Times New Roman" w:eastAsia="Times New Roman" w:hAnsi="Times New Roman"/>
          <w:sz w:val="24"/>
          <w:szCs w:val="24"/>
        </w:rPr>
        <w:t xml:space="preserve">a enfrentar 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o que </w:t>
      </w:r>
      <w:r w:rsidR="003D5F82">
        <w:rPr>
          <w:rFonts w:ascii="Times New Roman" w:eastAsia="Times New Roman" w:hAnsi="Times New Roman"/>
          <w:sz w:val="24"/>
          <w:szCs w:val="24"/>
        </w:rPr>
        <w:t xml:space="preserve">denomina 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“déficit </w:t>
      </w:r>
      <w:r w:rsidRPr="00936259">
        <w:rPr>
          <w:rFonts w:ascii="Times New Roman" w:eastAsia="Times New Roman" w:hAnsi="Times New Roman"/>
          <w:sz w:val="24"/>
          <w:szCs w:val="24"/>
        </w:rPr>
        <w:t>do regime de repartição simples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>”</w:t>
      </w:r>
      <w:r w:rsidRPr="00936259">
        <w:rPr>
          <w:rFonts w:ascii="Times New Roman" w:eastAsia="Times New Roman" w:hAnsi="Times New Roman"/>
          <w:sz w:val="24"/>
          <w:szCs w:val="24"/>
        </w:rPr>
        <w:t>. A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 informação, </w:t>
      </w:r>
      <w:r w:rsidRPr="00936259">
        <w:rPr>
          <w:rFonts w:ascii="Times New Roman" w:eastAsia="Times New Roman" w:hAnsi="Times New Roman"/>
          <w:sz w:val="24"/>
          <w:szCs w:val="24"/>
        </w:rPr>
        <w:t xml:space="preserve">por exemplo, 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de </w:t>
      </w:r>
      <w:r w:rsidR="00834664" w:rsidRPr="00936259">
        <w:rPr>
          <w:rFonts w:ascii="Times New Roman" w:eastAsia="Times New Roman" w:hAnsi="Times New Roman"/>
          <w:sz w:val="24"/>
          <w:szCs w:val="24"/>
        </w:rPr>
        <w:t xml:space="preserve">que as despesas previdenciárias </w:t>
      </w:r>
      <w:r w:rsidR="00543E5B" w:rsidRPr="00936259">
        <w:rPr>
          <w:rFonts w:ascii="Times New Roman" w:eastAsia="Times New Roman" w:hAnsi="Times New Roman"/>
          <w:sz w:val="24"/>
          <w:szCs w:val="24"/>
        </w:rPr>
        <w:t>d</w:t>
      </w:r>
      <w:r w:rsidR="004B2761" w:rsidRPr="00936259">
        <w:rPr>
          <w:rFonts w:ascii="Times New Roman" w:eastAsia="Times New Roman" w:hAnsi="Times New Roman"/>
          <w:sz w:val="24"/>
          <w:szCs w:val="24"/>
        </w:rPr>
        <w:t>este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 xml:space="preserve"> regime </w:t>
      </w:r>
      <w:r w:rsidR="00834664" w:rsidRPr="00936259">
        <w:rPr>
          <w:rFonts w:ascii="Times New Roman" w:eastAsia="Times New Roman" w:hAnsi="Times New Roman"/>
          <w:sz w:val="24"/>
          <w:szCs w:val="24"/>
        </w:rPr>
        <w:t>t</w:t>
      </w:r>
      <w:r w:rsidR="00543E5B" w:rsidRPr="00936259">
        <w:rPr>
          <w:rFonts w:ascii="Times New Roman" w:eastAsia="Times New Roman" w:hAnsi="Times New Roman"/>
          <w:sz w:val="24"/>
          <w:szCs w:val="24"/>
        </w:rPr>
        <w:t>erão</w:t>
      </w:r>
      <w:r w:rsidR="00834664" w:rsidRPr="00936259">
        <w:rPr>
          <w:rFonts w:ascii="Times New Roman" w:eastAsia="Times New Roman" w:hAnsi="Times New Roman"/>
          <w:sz w:val="24"/>
          <w:szCs w:val="24"/>
        </w:rPr>
        <w:t xml:space="preserve"> um salto d</w:t>
      </w:r>
      <w:r w:rsidR="00B7758D" w:rsidRPr="00936259">
        <w:rPr>
          <w:rFonts w:ascii="Times New Roman" w:eastAsia="Times New Roman" w:hAnsi="Times New Roman"/>
          <w:sz w:val="24"/>
          <w:szCs w:val="24"/>
        </w:rPr>
        <w:t>os</w:t>
      </w:r>
      <w:r w:rsidR="00834664" w:rsidRPr="00936259">
        <w:rPr>
          <w:rFonts w:ascii="Times New Roman" w:eastAsia="Times New Roman" w:hAnsi="Times New Roman"/>
          <w:sz w:val="24"/>
          <w:szCs w:val="24"/>
        </w:rPr>
        <w:t xml:space="preserve"> R$ 1.050.895.935 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>e</w:t>
      </w:r>
      <w:r w:rsidR="00FC2B99" w:rsidRPr="00936259">
        <w:rPr>
          <w:rFonts w:ascii="Times New Roman" w:eastAsia="Times New Roman" w:hAnsi="Times New Roman"/>
          <w:sz w:val="24"/>
          <w:szCs w:val="24"/>
        </w:rPr>
        <w:t>xecutados e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 xml:space="preserve">m 2017 </w:t>
      </w:r>
      <w:r w:rsidR="00834664" w:rsidRPr="00936259">
        <w:rPr>
          <w:rFonts w:ascii="Times New Roman" w:eastAsia="Times New Roman" w:hAnsi="Times New Roman"/>
          <w:sz w:val="24"/>
          <w:szCs w:val="24"/>
        </w:rPr>
        <w:t xml:space="preserve">para 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 xml:space="preserve">R$ </w:t>
      </w:r>
      <w:r w:rsidR="00834664" w:rsidRPr="00936259">
        <w:rPr>
          <w:rFonts w:ascii="Times New Roman" w:eastAsia="Times New Roman" w:hAnsi="Times New Roman"/>
          <w:sz w:val="24"/>
          <w:szCs w:val="24"/>
        </w:rPr>
        <w:t>1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 xml:space="preserve">.764.870.170 </w:t>
      </w:r>
      <w:r w:rsidR="00543E5B" w:rsidRPr="00936259">
        <w:rPr>
          <w:rFonts w:ascii="Times New Roman" w:eastAsia="Times New Roman" w:hAnsi="Times New Roman"/>
          <w:sz w:val="24"/>
          <w:szCs w:val="24"/>
        </w:rPr>
        <w:t xml:space="preserve">em 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 xml:space="preserve">2018 – um </w:t>
      </w:r>
      <w:r w:rsidR="00543E5B" w:rsidRPr="00936259">
        <w:rPr>
          <w:rFonts w:ascii="Times New Roman" w:eastAsia="Times New Roman" w:hAnsi="Times New Roman"/>
          <w:sz w:val="24"/>
          <w:szCs w:val="24"/>
        </w:rPr>
        <w:t xml:space="preserve">súbito e impressionante 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>incremento de R$ 713.974.235</w:t>
      </w:r>
      <w:r w:rsidR="00543E5B" w:rsidRPr="00936259">
        <w:rPr>
          <w:rFonts w:ascii="Times New Roman" w:eastAsia="Times New Roman" w:hAnsi="Times New Roman"/>
          <w:sz w:val="24"/>
          <w:szCs w:val="24"/>
        </w:rPr>
        <w:t xml:space="preserve"> [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>67,9%</w:t>
      </w:r>
      <w:r w:rsidR="00543E5B" w:rsidRPr="00936259">
        <w:rPr>
          <w:rFonts w:ascii="Times New Roman" w:eastAsia="Times New Roman" w:hAnsi="Times New Roman"/>
          <w:sz w:val="24"/>
          <w:szCs w:val="24"/>
        </w:rPr>
        <w:t>]</w:t>
      </w:r>
      <w:r w:rsidR="00B644BC" w:rsidRPr="00936259">
        <w:rPr>
          <w:rFonts w:ascii="Times New Roman" w:eastAsia="Times New Roman" w:hAnsi="Times New Roman"/>
          <w:sz w:val="24"/>
          <w:szCs w:val="24"/>
        </w:rPr>
        <w:t xml:space="preserve"> em apenas 1 ano</w:t>
      </w:r>
      <w:r w:rsidR="004B2761" w:rsidRPr="00936259">
        <w:rPr>
          <w:rFonts w:ascii="Times New Roman" w:eastAsia="Times New Roman" w:hAnsi="Times New Roman"/>
          <w:sz w:val="24"/>
          <w:szCs w:val="24"/>
        </w:rPr>
        <w:t xml:space="preserve"> –, </w:t>
      </w:r>
      <w:r w:rsidR="005C1C82">
        <w:rPr>
          <w:rFonts w:ascii="Times New Roman" w:eastAsia="Times New Roman" w:hAnsi="Times New Roman"/>
          <w:sz w:val="24"/>
          <w:szCs w:val="24"/>
        </w:rPr>
        <w:t xml:space="preserve">não está </w:t>
      </w:r>
      <w:r w:rsidR="004B2761" w:rsidRPr="00936259">
        <w:rPr>
          <w:rFonts w:ascii="Times New Roman" w:eastAsia="Times New Roman" w:hAnsi="Times New Roman"/>
          <w:sz w:val="24"/>
          <w:szCs w:val="24"/>
        </w:rPr>
        <w:t>demonstra</w:t>
      </w:r>
      <w:r w:rsidR="005C1C82">
        <w:rPr>
          <w:rFonts w:ascii="Times New Roman" w:eastAsia="Times New Roman" w:hAnsi="Times New Roman"/>
          <w:sz w:val="24"/>
          <w:szCs w:val="24"/>
        </w:rPr>
        <w:t xml:space="preserve">da </w:t>
      </w:r>
      <w:r w:rsidR="00B7758D" w:rsidRPr="00936259">
        <w:rPr>
          <w:rFonts w:ascii="Times New Roman" w:eastAsia="Times New Roman" w:hAnsi="Times New Roman"/>
          <w:sz w:val="24"/>
          <w:szCs w:val="24"/>
        </w:rPr>
        <w:t>nos documentos dispon</w:t>
      </w:r>
      <w:r w:rsidR="005C1C82">
        <w:rPr>
          <w:rFonts w:ascii="Times New Roman" w:eastAsia="Times New Roman" w:hAnsi="Times New Roman"/>
          <w:sz w:val="24"/>
          <w:szCs w:val="24"/>
        </w:rPr>
        <w:t>ibilizados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. Embora a avaliação atuarial identifique um universo de funcionários em condições de aposentadoria, esta previsão não se traduz em solicitações </w:t>
      </w:r>
      <w:r w:rsidR="00936259" w:rsidRPr="00936259">
        <w:rPr>
          <w:rFonts w:ascii="Times New Roman" w:eastAsia="Times New Roman" w:hAnsi="Times New Roman"/>
          <w:sz w:val="24"/>
          <w:szCs w:val="24"/>
        </w:rPr>
        <w:t xml:space="preserve">automáticas 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de aposentadorias. </w:t>
      </w:r>
      <w:r w:rsidR="00306638">
        <w:rPr>
          <w:rFonts w:ascii="Times New Roman" w:eastAsia="Times New Roman" w:hAnsi="Times New Roman"/>
          <w:sz w:val="24"/>
          <w:szCs w:val="24"/>
        </w:rPr>
        <w:t>P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>or exemplo, d</w:t>
      </w:r>
      <w:r w:rsidR="00306638">
        <w:rPr>
          <w:rFonts w:ascii="Times New Roman" w:eastAsia="Times New Roman" w:hAnsi="Times New Roman"/>
          <w:sz w:val="24"/>
          <w:szCs w:val="24"/>
        </w:rPr>
        <w:t>a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s 2.601 </w:t>
      </w:r>
      <w:r w:rsidR="00306638">
        <w:rPr>
          <w:rFonts w:ascii="Times New Roman" w:eastAsia="Times New Roman" w:hAnsi="Times New Roman"/>
          <w:sz w:val="24"/>
          <w:szCs w:val="24"/>
        </w:rPr>
        <w:t xml:space="preserve">previsões de 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>aposentadoria</w:t>
      </w:r>
      <w:r w:rsidR="00306638">
        <w:rPr>
          <w:rFonts w:ascii="Times New Roman" w:eastAsia="Times New Roman" w:hAnsi="Times New Roman"/>
          <w:sz w:val="24"/>
          <w:szCs w:val="24"/>
        </w:rPr>
        <w:t xml:space="preserve"> incluídas na avaliação atuarial de 2017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, somente </w:t>
      </w:r>
      <w:r w:rsidR="000A7D6A">
        <w:rPr>
          <w:rFonts w:ascii="Times New Roman" w:eastAsia="Times New Roman" w:hAnsi="Times New Roman"/>
          <w:sz w:val="24"/>
          <w:szCs w:val="24"/>
        </w:rPr>
        <w:t>1.049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 [</w:t>
      </w:r>
      <w:r w:rsidR="000A7D6A">
        <w:rPr>
          <w:rFonts w:ascii="Times New Roman" w:eastAsia="Times New Roman" w:hAnsi="Times New Roman"/>
          <w:sz w:val="24"/>
          <w:szCs w:val="24"/>
        </w:rPr>
        <w:t>40,3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%] </w:t>
      </w:r>
      <w:r w:rsidR="00306638">
        <w:rPr>
          <w:rFonts w:ascii="Times New Roman" w:eastAsia="Times New Roman" w:hAnsi="Times New Roman"/>
          <w:sz w:val="24"/>
          <w:szCs w:val="24"/>
        </w:rPr>
        <w:t xml:space="preserve">se 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>efetiva</w:t>
      </w:r>
      <w:r w:rsidR="00306638">
        <w:rPr>
          <w:rFonts w:ascii="Times New Roman" w:eastAsia="Times New Roman" w:hAnsi="Times New Roman"/>
          <w:sz w:val="24"/>
          <w:szCs w:val="24"/>
        </w:rPr>
        <w:t>ram</w:t>
      </w:r>
      <w:r w:rsidR="00936259" w:rsidRPr="00936259">
        <w:rPr>
          <w:rFonts w:ascii="Times New Roman" w:eastAsia="Times New Roman" w:hAnsi="Times New Roman"/>
          <w:sz w:val="24"/>
          <w:szCs w:val="24"/>
        </w:rPr>
        <w:t>.</w:t>
      </w:r>
      <w:r w:rsidR="006A02D8" w:rsidRPr="00936259">
        <w:rPr>
          <w:rFonts w:ascii="Times New Roman" w:eastAsia="Times New Roman" w:hAnsi="Times New Roman"/>
          <w:sz w:val="24"/>
          <w:szCs w:val="24"/>
        </w:rPr>
        <w:t xml:space="preserve"> </w:t>
      </w:r>
      <w:r w:rsidR="005C1C82">
        <w:rPr>
          <w:rFonts w:ascii="Times New Roman" w:eastAsia="Times New Roman" w:hAnsi="Times New Roman"/>
          <w:sz w:val="24"/>
          <w:szCs w:val="24"/>
        </w:rPr>
        <w:t>É importante mencionar que a</w:t>
      </w:r>
      <w:r w:rsidR="00936259" w:rsidRPr="00936259">
        <w:rPr>
          <w:rFonts w:ascii="Times New Roman" w:eastAsia="Times New Roman" w:hAnsi="Times New Roman"/>
          <w:sz w:val="24"/>
          <w:szCs w:val="24"/>
        </w:rPr>
        <w:t xml:space="preserve">s </w:t>
      </w:r>
      <w:r w:rsidR="005C1C82">
        <w:rPr>
          <w:rFonts w:ascii="Times New Roman" w:eastAsia="Times New Roman" w:hAnsi="Times New Roman"/>
          <w:sz w:val="24"/>
          <w:szCs w:val="24"/>
        </w:rPr>
        <w:t>reiteradas ameaças com medidas supressoras de</w:t>
      </w:r>
      <w:r w:rsidR="00936259" w:rsidRPr="00936259">
        <w:rPr>
          <w:rFonts w:ascii="Times New Roman" w:eastAsia="Times New Roman" w:hAnsi="Times New Roman"/>
          <w:sz w:val="24"/>
          <w:szCs w:val="24"/>
        </w:rPr>
        <w:t xml:space="preserve"> direitos previdenciários </w:t>
      </w:r>
      <w:r w:rsidR="005C1C82">
        <w:rPr>
          <w:rFonts w:ascii="Times New Roman" w:eastAsia="Times New Roman" w:hAnsi="Times New Roman"/>
          <w:sz w:val="24"/>
          <w:szCs w:val="24"/>
        </w:rPr>
        <w:t xml:space="preserve">precipitam os </w:t>
      </w:r>
      <w:r w:rsidR="00936259" w:rsidRPr="00936259">
        <w:rPr>
          <w:rFonts w:ascii="Times New Roman" w:eastAsia="Times New Roman" w:hAnsi="Times New Roman"/>
          <w:sz w:val="24"/>
          <w:szCs w:val="24"/>
        </w:rPr>
        <w:t xml:space="preserve">pedidos de aposentadoria e, consequentemente, </w:t>
      </w:r>
      <w:r w:rsidR="00306638">
        <w:rPr>
          <w:rFonts w:ascii="Times New Roman" w:eastAsia="Times New Roman" w:hAnsi="Times New Roman"/>
          <w:sz w:val="24"/>
          <w:szCs w:val="24"/>
        </w:rPr>
        <w:t xml:space="preserve">desestabilizam e </w:t>
      </w:r>
      <w:r w:rsidR="005C1C82">
        <w:rPr>
          <w:rFonts w:ascii="Times New Roman" w:eastAsia="Times New Roman" w:hAnsi="Times New Roman"/>
          <w:sz w:val="24"/>
          <w:szCs w:val="24"/>
        </w:rPr>
        <w:t xml:space="preserve">causam </w:t>
      </w:r>
      <w:r w:rsidR="00BF277E">
        <w:rPr>
          <w:rFonts w:ascii="Times New Roman" w:eastAsia="Times New Roman" w:hAnsi="Times New Roman"/>
          <w:sz w:val="24"/>
          <w:szCs w:val="24"/>
        </w:rPr>
        <w:t>oneração antecipada do sistema;</w:t>
      </w:r>
    </w:p>
    <w:p w:rsidR="00D544F6" w:rsidRPr="00D544F6" w:rsidRDefault="004B2761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Executivo </w:t>
      </w:r>
      <w:r w:rsidR="00B203B6">
        <w:rPr>
          <w:rFonts w:ascii="Times New Roman" w:eastAsia="Times New Roman" w:hAnsi="Times New Roman"/>
          <w:sz w:val="24"/>
          <w:szCs w:val="24"/>
        </w:rPr>
        <w:t>projeta,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7758D">
        <w:rPr>
          <w:rFonts w:ascii="Times New Roman" w:eastAsia="Times New Roman" w:hAnsi="Times New Roman"/>
          <w:sz w:val="24"/>
          <w:szCs w:val="24"/>
        </w:rPr>
        <w:t>a partir de</w:t>
      </w:r>
      <w:r w:rsidR="00CA610E">
        <w:rPr>
          <w:rFonts w:ascii="Times New Roman" w:eastAsia="Times New Roman" w:hAnsi="Times New Roman"/>
          <w:sz w:val="24"/>
          <w:szCs w:val="24"/>
        </w:rPr>
        <w:t xml:space="preserve"> um </w:t>
      </w:r>
      <w:r>
        <w:rPr>
          <w:rFonts w:ascii="Times New Roman" w:eastAsia="Times New Roman" w:hAnsi="Times New Roman"/>
          <w:sz w:val="24"/>
          <w:szCs w:val="24"/>
        </w:rPr>
        <w:t xml:space="preserve">raciocínio que desconsidera que o regime de </w:t>
      </w:r>
      <w:r w:rsidRPr="00B7758D">
        <w:rPr>
          <w:rFonts w:ascii="Times New Roman" w:eastAsia="Times New Roman" w:hAnsi="Times New Roman"/>
          <w:sz w:val="24"/>
          <w:szCs w:val="24"/>
        </w:rPr>
        <w:t>repartição simples é credor</w:t>
      </w:r>
      <w:r w:rsidR="00B7758D">
        <w:rPr>
          <w:rFonts w:ascii="Times New Roman" w:eastAsia="Times New Roman" w:hAnsi="Times New Roman"/>
          <w:sz w:val="24"/>
          <w:szCs w:val="24"/>
        </w:rPr>
        <w:t xml:space="preserve"> financeiro</w:t>
      </w:r>
      <w:r w:rsidRPr="00B7758D">
        <w:rPr>
          <w:rFonts w:ascii="Times New Roman" w:eastAsia="Times New Roman" w:hAnsi="Times New Roman"/>
          <w:sz w:val="24"/>
          <w:szCs w:val="24"/>
        </w:rPr>
        <w:t xml:space="preserve"> do Município, que em 2026 este regime terá um resultado negativo de R$ 1.697.603.174,70</w:t>
      </w:r>
      <w:r w:rsidR="00BA513B">
        <w:rPr>
          <w:rFonts w:ascii="Times New Roman" w:eastAsia="Times New Roman" w:hAnsi="Times New Roman"/>
          <w:sz w:val="24"/>
          <w:szCs w:val="24"/>
        </w:rPr>
        <w:t xml:space="preserve">. </w:t>
      </w:r>
      <w:r w:rsidR="00D544F6">
        <w:rPr>
          <w:rFonts w:ascii="Times New Roman" w:eastAsia="Times New Roman" w:hAnsi="Times New Roman"/>
          <w:sz w:val="24"/>
          <w:szCs w:val="24"/>
        </w:rPr>
        <w:t xml:space="preserve">Além disso, merece ser registrado que na justificativa do PL, o Executivo </w:t>
      </w:r>
      <w:r w:rsidR="000A7D6A">
        <w:rPr>
          <w:rFonts w:ascii="Times New Roman" w:eastAsia="Times New Roman" w:hAnsi="Times New Roman"/>
          <w:sz w:val="24"/>
          <w:szCs w:val="24"/>
        </w:rPr>
        <w:t>não apresent</w:t>
      </w:r>
      <w:r w:rsidR="00D544F6">
        <w:rPr>
          <w:rFonts w:ascii="Times New Roman" w:eastAsia="Times New Roman" w:hAnsi="Times New Roman"/>
          <w:sz w:val="24"/>
          <w:szCs w:val="24"/>
        </w:rPr>
        <w:t>ou</w:t>
      </w:r>
      <w:r w:rsidR="00BA513B">
        <w:rPr>
          <w:rFonts w:ascii="Times New Roman" w:eastAsia="Times New Roman" w:hAnsi="Times New Roman"/>
          <w:sz w:val="24"/>
          <w:szCs w:val="24"/>
        </w:rPr>
        <w:t xml:space="preserve"> a avaliação atuarial de 2018 </w:t>
      </w:r>
      <w:r w:rsidR="00CA610E">
        <w:rPr>
          <w:rFonts w:ascii="Times New Roman" w:eastAsia="Times New Roman" w:hAnsi="Times New Roman"/>
          <w:sz w:val="24"/>
          <w:szCs w:val="24"/>
        </w:rPr>
        <w:t>d</w:t>
      </w:r>
      <w:r w:rsidR="00BA513B">
        <w:rPr>
          <w:rFonts w:ascii="Times New Roman" w:eastAsia="Times New Roman" w:hAnsi="Times New Roman"/>
          <w:sz w:val="24"/>
          <w:szCs w:val="24"/>
        </w:rPr>
        <w:t xml:space="preserve">o regime capitalizado, </w:t>
      </w:r>
      <w:r w:rsidR="00D544F6">
        <w:rPr>
          <w:rFonts w:ascii="Times New Roman" w:eastAsia="Times New Roman" w:hAnsi="Times New Roman"/>
          <w:sz w:val="24"/>
          <w:szCs w:val="24"/>
        </w:rPr>
        <w:t>q</w:t>
      </w:r>
      <w:r w:rsidR="00BA513B">
        <w:rPr>
          <w:rFonts w:ascii="Times New Roman" w:eastAsia="Times New Roman" w:hAnsi="Times New Roman"/>
          <w:sz w:val="24"/>
          <w:szCs w:val="24"/>
        </w:rPr>
        <w:t>u</w:t>
      </w:r>
      <w:r w:rsidR="00D544F6">
        <w:rPr>
          <w:rFonts w:ascii="Times New Roman" w:eastAsia="Times New Roman" w:hAnsi="Times New Roman"/>
          <w:sz w:val="24"/>
          <w:szCs w:val="24"/>
        </w:rPr>
        <w:t>e</w:t>
      </w:r>
      <w:r w:rsidR="00CC25DB">
        <w:rPr>
          <w:rFonts w:ascii="Times New Roman" w:eastAsia="Times New Roman" w:hAnsi="Times New Roman"/>
          <w:sz w:val="24"/>
          <w:szCs w:val="24"/>
        </w:rPr>
        <w:t xml:space="preserve"> </w:t>
      </w:r>
      <w:r w:rsidR="00BA513B">
        <w:rPr>
          <w:rFonts w:ascii="Times New Roman" w:eastAsia="Times New Roman" w:hAnsi="Times New Roman"/>
          <w:sz w:val="24"/>
          <w:szCs w:val="24"/>
        </w:rPr>
        <w:t xml:space="preserve">demonstra </w:t>
      </w:r>
      <w:r w:rsidR="00CC25DB">
        <w:rPr>
          <w:rFonts w:ascii="Times New Roman" w:eastAsia="Times New Roman" w:hAnsi="Times New Roman"/>
          <w:sz w:val="24"/>
          <w:szCs w:val="24"/>
        </w:rPr>
        <w:t xml:space="preserve">a redução </w:t>
      </w:r>
      <w:r w:rsidR="00D544F6">
        <w:rPr>
          <w:rFonts w:ascii="Times New Roman" w:eastAsia="Times New Roman" w:hAnsi="Times New Roman"/>
          <w:sz w:val="24"/>
          <w:szCs w:val="24"/>
        </w:rPr>
        <w:t xml:space="preserve">do </w:t>
      </w:r>
      <w:r w:rsidR="00CC25DB">
        <w:rPr>
          <w:rFonts w:ascii="Times New Roman" w:eastAsia="Times New Roman" w:hAnsi="Times New Roman"/>
          <w:sz w:val="24"/>
          <w:szCs w:val="24"/>
        </w:rPr>
        <w:t>déficit d</w:t>
      </w:r>
      <w:r w:rsidR="00D544F6">
        <w:rPr>
          <w:rFonts w:ascii="Times New Roman" w:eastAsia="Times New Roman" w:hAnsi="Times New Roman"/>
          <w:sz w:val="24"/>
          <w:szCs w:val="24"/>
        </w:rPr>
        <w:t>aquele</w:t>
      </w:r>
      <w:r w:rsidR="00CC25DB">
        <w:rPr>
          <w:rFonts w:ascii="Times New Roman" w:eastAsia="Times New Roman" w:hAnsi="Times New Roman"/>
          <w:sz w:val="24"/>
          <w:szCs w:val="24"/>
        </w:rPr>
        <w:t xml:space="preserve"> </w:t>
      </w:r>
      <w:r w:rsidR="00CA610E">
        <w:rPr>
          <w:rFonts w:ascii="Times New Roman" w:eastAsia="Times New Roman" w:hAnsi="Times New Roman"/>
          <w:sz w:val="24"/>
          <w:szCs w:val="24"/>
        </w:rPr>
        <w:t>regime</w:t>
      </w:r>
      <w:r w:rsidR="003D5F82">
        <w:rPr>
          <w:rFonts w:ascii="Times New Roman" w:eastAsia="Times New Roman" w:hAnsi="Times New Roman"/>
          <w:sz w:val="24"/>
          <w:szCs w:val="24"/>
        </w:rPr>
        <w:t>,</w:t>
      </w:r>
      <w:r w:rsidR="00D544F6">
        <w:rPr>
          <w:rFonts w:ascii="Times New Roman" w:eastAsia="Times New Roman" w:hAnsi="Times New Roman"/>
          <w:sz w:val="24"/>
          <w:szCs w:val="24"/>
        </w:rPr>
        <w:t xml:space="preserve"> diferente do que constou</w:t>
      </w:r>
      <w:r w:rsidR="003D5F82">
        <w:rPr>
          <w:rFonts w:ascii="Times New Roman" w:eastAsia="Times New Roman" w:hAnsi="Times New Roman"/>
          <w:sz w:val="24"/>
          <w:szCs w:val="24"/>
        </w:rPr>
        <w:t>;</w:t>
      </w:r>
    </w:p>
    <w:p w:rsidR="004B2761" w:rsidRPr="004B2761" w:rsidRDefault="00590756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diante de </w:t>
      </w:r>
      <w:r w:rsidRPr="00590756">
        <w:rPr>
          <w:rFonts w:ascii="Times New Roman" w:eastAsia="Times New Roman" w:hAnsi="Times New Roman"/>
          <w:i/>
          <w:sz w:val="24"/>
          <w:szCs w:val="24"/>
        </w:rPr>
        <w:t>déficits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03B6">
        <w:rPr>
          <w:rFonts w:ascii="Times New Roman" w:eastAsia="Times New Roman" w:hAnsi="Times New Roman"/>
          <w:sz w:val="24"/>
          <w:szCs w:val="24"/>
        </w:rPr>
        <w:t>magnificad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203B6">
        <w:rPr>
          <w:rFonts w:ascii="Times New Roman" w:eastAsia="Times New Roman" w:hAnsi="Times New Roman"/>
          <w:sz w:val="24"/>
          <w:szCs w:val="24"/>
        </w:rPr>
        <w:t xml:space="preserve">s aos bilhões, </w:t>
      </w:r>
      <w:r w:rsidR="004B2761">
        <w:rPr>
          <w:rFonts w:ascii="Times New Roman" w:eastAsia="Times New Roman" w:hAnsi="Times New Roman"/>
          <w:sz w:val="24"/>
          <w:szCs w:val="24"/>
        </w:rPr>
        <w:t xml:space="preserve">não </w:t>
      </w:r>
      <w:r>
        <w:rPr>
          <w:rFonts w:ascii="Times New Roman" w:eastAsia="Times New Roman" w:hAnsi="Times New Roman"/>
          <w:sz w:val="24"/>
          <w:szCs w:val="24"/>
        </w:rPr>
        <w:t xml:space="preserve">está demonstrada, contudo, a magnitude do alcance da “previdência complementar” na melhoria das finanças municipais, </w:t>
      </w:r>
      <w:r w:rsidR="00C81F3F">
        <w:rPr>
          <w:rFonts w:ascii="Times New Roman" w:eastAsia="Times New Roman" w:hAnsi="Times New Roman"/>
          <w:sz w:val="24"/>
          <w:szCs w:val="24"/>
        </w:rPr>
        <w:t xml:space="preserve">em que pese </w:t>
      </w:r>
      <w:r w:rsidR="004B2761">
        <w:rPr>
          <w:rFonts w:ascii="Times New Roman" w:eastAsia="Times New Roman" w:hAnsi="Times New Roman"/>
          <w:sz w:val="24"/>
          <w:szCs w:val="24"/>
        </w:rPr>
        <w:t>a</w:t>
      </w:r>
      <w:r w:rsidR="00EA7FB7">
        <w:rPr>
          <w:rFonts w:ascii="Times New Roman" w:eastAsia="Times New Roman" w:hAnsi="Times New Roman"/>
          <w:sz w:val="24"/>
          <w:szCs w:val="24"/>
        </w:rPr>
        <w:t xml:space="preserve"> </w:t>
      </w:r>
      <w:r w:rsidR="003908AE">
        <w:rPr>
          <w:rFonts w:ascii="Times New Roman" w:eastAsia="Times New Roman" w:hAnsi="Times New Roman"/>
          <w:sz w:val="24"/>
          <w:szCs w:val="24"/>
        </w:rPr>
        <w:t xml:space="preserve">alegação oficial </w:t>
      </w:r>
      <w:r>
        <w:rPr>
          <w:rFonts w:ascii="Times New Roman" w:eastAsia="Times New Roman" w:hAnsi="Times New Roman"/>
          <w:sz w:val="24"/>
          <w:szCs w:val="24"/>
        </w:rPr>
        <w:t>de q</w:t>
      </w:r>
      <w:r w:rsidR="004B2761">
        <w:rPr>
          <w:rFonts w:ascii="Times New Roman" w:eastAsia="Times New Roman" w:hAnsi="Times New Roman"/>
          <w:sz w:val="24"/>
          <w:szCs w:val="24"/>
        </w:rPr>
        <w:t xml:space="preserve">ue </w:t>
      </w:r>
      <w:r w:rsidR="004057BA">
        <w:rPr>
          <w:rFonts w:ascii="Times New Roman" w:eastAsia="Times New Roman" w:hAnsi="Times New Roman"/>
          <w:sz w:val="24"/>
          <w:szCs w:val="24"/>
        </w:rPr>
        <w:t>“</w:t>
      </w:r>
      <w:r w:rsidR="004057BA" w:rsidRPr="00834664">
        <w:rPr>
          <w:rFonts w:ascii="Times New Roman" w:eastAsia="Times New Roman" w:hAnsi="Times New Roman"/>
          <w:i/>
          <w:sz w:val="24"/>
          <w:szCs w:val="24"/>
        </w:rPr>
        <w:t>o Projeto de Lei apresenta</w:t>
      </w:r>
      <w:r w:rsidR="004057BA" w:rsidRPr="00834664">
        <w:rPr>
          <w:rFonts w:ascii="Times New Roman" w:eastAsia="Times New Roman" w:hAnsi="Times New Roman"/>
          <w:bCs/>
          <w:i/>
          <w:sz w:val="24"/>
          <w:szCs w:val="24"/>
        </w:rPr>
        <w:t xml:space="preserve"> uma solução para as crescentes despesas do Município com o custeio da previdência dos servidores públicos</w:t>
      </w:r>
      <w:r w:rsidR="006F06D8">
        <w:rPr>
          <w:rFonts w:ascii="Times New Roman" w:eastAsia="Times New Roman" w:hAnsi="Times New Roman"/>
          <w:bCs/>
          <w:i/>
          <w:sz w:val="24"/>
          <w:szCs w:val="24"/>
        </w:rPr>
        <w:t xml:space="preserve"> [...]</w:t>
      </w:r>
      <w:r w:rsidR="004057BA">
        <w:rPr>
          <w:rFonts w:ascii="Times New Roman" w:eastAsia="Times New Roman" w:hAnsi="Times New Roman"/>
          <w:sz w:val="24"/>
          <w:szCs w:val="24"/>
        </w:rPr>
        <w:t>”</w:t>
      </w:r>
      <w:r w:rsidR="004B2761">
        <w:rPr>
          <w:rFonts w:ascii="Times New Roman" w:eastAsia="Times New Roman" w:hAnsi="Times New Roman"/>
          <w:sz w:val="24"/>
          <w:szCs w:val="24"/>
        </w:rPr>
        <w:t>;</w:t>
      </w:r>
    </w:p>
    <w:p w:rsidR="002546F8" w:rsidRPr="002546F8" w:rsidRDefault="006F06D8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estudo atuarial do PREVIMPA </w:t>
      </w:r>
      <w:r w:rsidR="00FA2E60">
        <w:rPr>
          <w:rFonts w:ascii="Times New Roman" w:eastAsia="Times New Roman" w:hAnsi="Times New Roman"/>
          <w:sz w:val="24"/>
          <w:szCs w:val="24"/>
        </w:rPr>
        <w:t>estima</w:t>
      </w:r>
      <w:r>
        <w:rPr>
          <w:rFonts w:ascii="Times New Roman" w:eastAsia="Times New Roman" w:hAnsi="Times New Roman"/>
          <w:sz w:val="24"/>
          <w:szCs w:val="24"/>
        </w:rPr>
        <w:t xml:space="preserve"> que no cenário </w:t>
      </w:r>
      <w:r w:rsidR="000A7D6A">
        <w:rPr>
          <w:rFonts w:ascii="Times New Roman" w:eastAsia="Times New Roman" w:hAnsi="Times New Roman"/>
          <w:sz w:val="24"/>
          <w:szCs w:val="24"/>
        </w:rPr>
        <w:t xml:space="preserve">de 2.006 </w:t>
      </w:r>
      <w:r>
        <w:rPr>
          <w:rFonts w:ascii="Times New Roman" w:eastAsia="Times New Roman" w:hAnsi="Times New Roman"/>
          <w:sz w:val="24"/>
          <w:szCs w:val="24"/>
        </w:rPr>
        <w:t>adesões a</w:t>
      </w:r>
      <w:r w:rsidR="00FA2E60">
        <w:rPr>
          <w:rFonts w:ascii="Times New Roman" w:eastAsia="Times New Roman" w:hAnsi="Times New Roman"/>
          <w:sz w:val="24"/>
          <w:szCs w:val="24"/>
        </w:rPr>
        <w:t>o plano proposto</w:t>
      </w:r>
      <w:r w:rsidR="0058782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A7D6A">
        <w:rPr>
          <w:rFonts w:ascii="Times New Roman" w:eastAsia="Times New Roman" w:hAnsi="Times New Roman"/>
          <w:sz w:val="24"/>
          <w:szCs w:val="24"/>
        </w:rPr>
        <w:t xml:space="preserve">o qual exclui celetistas, </w:t>
      </w:r>
      <w:r>
        <w:rPr>
          <w:rFonts w:ascii="Times New Roman" w:eastAsia="Times New Roman" w:hAnsi="Times New Roman"/>
          <w:sz w:val="24"/>
          <w:szCs w:val="24"/>
        </w:rPr>
        <w:t>a redução das despesas previdenciárias no orçamento</w:t>
      </w:r>
      <w:r w:rsidR="005878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</w:t>
      </w:r>
      <w:r w:rsidR="00587822">
        <w:rPr>
          <w:rFonts w:ascii="Times New Roman" w:eastAsia="Times New Roman" w:hAnsi="Times New Roman"/>
          <w:sz w:val="24"/>
          <w:szCs w:val="24"/>
        </w:rPr>
        <w:t>ia</w:t>
      </w:r>
      <w:r>
        <w:rPr>
          <w:rFonts w:ascii="Times New Roman" w:eastAsia="Times New Roman" w:hAnsi="Times New Roman"/>
          <w:sz w:val="24"/>
          <w:szCs w:val="24"/>
        </w:rPr>
        <w:t xml:space="preserve"> de R$ 8 milhões</w:t>
      </w:r>
      <w:r w:rsidR="00587822">
        <w:rPr>
          <w:rFonts w:ascii="Times New Roman" w:eastAsia="Times New Roman" w:hAnsi="Times New Roman"/>
          <w:sz w:val="24"/>
          <w:szCs w:val="24"/>
        </w:rPr>
        <w:t xml:space="preserve"> ao ano.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7822">
        <w:rPr>
          <w:rFonts w:ascii="Times New Roman" w:eastAsia="Times New Roman" w:hAnsi="Times New Roman"/>
          <w:sz w:val="24"/>
          <w:szCs w:val="24"/>
        </w:rPr>
        <w:t xml:space="preserve">Cabe anotar, contudo, que além do </w:t>
      </w:r>
      <w:r>
        <w:rPr>
          <w:rFonts w:ascii="Times New Roman" w:eastAsia="Times New Roman" w:hAnsi="Times New Roman"/>
          <w:sz w:val="24"/>
          <w:szCs w:val="24"/>
        </w:rPr>
        <w:t xml:space="preserve">custo anual </w:t>
      </w:r>
      <w:r w:rsidR="003D5F82">
        <w:rPr>
          <w:rFonts w:ascii="Times New Roman" w:eastAsia="Times New Roman" w:hAnsi="Times New Roman"/>
          <w:sz w:val="24"/>
          <w:szCs w:val="24"/>
        </w:rPr>
        <w:t>d</w:t>
      </w:r>
      <w:r w:rsidR="00587822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POAPrev</w:t>
      </w:r>
      <w:r w:rsidR="00587822">
        <w:rPr>
          <w:rFonts w:ascii="Times New Roman" w:eastAsia="Times New Roman" w:hAnsi="Times New Roman"/>
          <w:sz w:val="24"/>
          <w:szCs w:val="24"/>
        </w:rPr>
        <w:t xml:space="preserve"> rondar a casa dos </w:t>
      </w:r>
      <w:r>
        <w:rPr>
          <w:rFonts w:ascii="Times New Roman" w:eastAsia="Times New Roman" w:hAnsi="Times New Roman"/>
          <w:sz w:val="24"/>
          <w:szCs w:val="24"/>
        </w:rPr>
        <w:t>R$ 4 milhões</w:t>
      </w:r>
      <w:r w:rsidR="00587822">
        <w:rPr>
          <w:rFonts w:ascii="Times New Roman" w:eastAsia="Times New Roman" w:hAnsi="Times New Roman"/>
          <w:sz w:val="24"/>
          <w:szCs w:val="24"/>
        </w:rPr>
        <w:t xml:space="preserve">/ano, </w:t>
      </w:r>
      <w:r w:rsidR="003D5F82">
        <w:rPr>
          <w:rFonts w:ascii="Times New Roman" w:eastAsia="Times New Roman" w:hAnsi="Times New Roman"/>
          <w:sz w:val="24"/>
          <w:szCs w:val="24"/>
        </w:rPr>
        <w:t xml:space="preserve">imprecisões do Projeto e </w:t>
      </w:r>
      <w:r>
        <w:rPr>
          <w:rFonts w:ascii="Times New Roman" w:eastAsia="Times New Roman" w:hAnsi="Times New Roman"/>
          <w:sz w:val="24"/>
          <w:szCs w:val="24"/>
        </w:rPr>
        <w:t>incerteza</w:t>
      </w:r>
      <w:r w:rsidR="00C81F3F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adiciona</w:t>
      </w:r>
      <w:r w:rsidR="00587822">
        <w:rPr>
          <w:rFonts w:ascii="Times New Roman" w:eastAsia="Times New Roman" w:hAnsi="Times New Roman"/>
          <w:sz w:val="24"/>
          <w:szCs w:val="24"/>
        </w:rPr>
        <w:t>m doses de pessimismo quanto ao seu real impacto, permitindo inclusive aludir a um</w:t>
      </w:r>
      <w:r>
        <w:rPr>
          <w:rFonts w:ascii="Times New Roman" w:eastAsia="Times New Roman" w:hAnsi="Times New Roman"/>
          <w:sz w:val="24"/>
          <w:szCs w:val="24"/>
        </w:rPr>
        <w:t xml:space="preserve"> resultado de soma zero</w:t>
      </w:r>
      <w:r w:rsidR="002546F8">
        <w:rPr>
          <w:rFonts w:ascii="Times New Roman" w:eastAsia="Times New Roman" w:hAnsi="Times New Roman"/>
          <w:sz w:val="24"/>
          <w:szCs w:val="24"/>
        </w:rPr>
        <w:t>. Cabe referir, ainda, que a política governamental de não reposição de cargos vagos e de priorização de terceirizações fragiliza ainda mais a estimativa otimista de adesões;</w:t>
      </w:r>
    </w:p>
    <w:p w:rsidR="002546F8" w:rsidRPr="002546F8" w:rsidRDefault="00000F37" w:rsidP="00000F37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726D6">
        <w:rPr>
          <w:rFonts w:ascii="Times New Roman" w:hAnsi="Times New Roman" w:cs="Times New Roman"/>
          <w:sz w:val="24"/>
          <w:szCs w:val="24"/>
        </w:rPr>
        <w:t xml:space="preserve">PLC </w:t>
      </w:r>
      <w:r w:rsidRPr="00BE40BD">
        <w:rPr>
          <w:rFonts w:ascii="Times New Roman" w:hAnsi="Times New Roman" w:cs="Times New Roman"/>
          <w:sz w:val="24"/>
          <w:szCs w:val="24"/>
        </w:rPr>
        <w:t>estabelece</w:t>
      </w:r>
      <w:r w:rsidR="000A7D6A">
        <w:rPr>
          <w:rFonts w:ascii="Times New Roman" w:hAnsi="Times New Roman" w:cs="Times New Roman"/>
          <w:sz w:val="24"/>
          <w:szCs w:val="24"/>
        </w:rPr>
        <w:t>, mas não define,</w:t>
      </w:r>
      <w:r w:rsidRPr="00BE40BD">
        <w:rPr>
          <w:rFonts w:ascii="Times New Roman" w:hAnsi="Times New Roman" w:cs="Times New Roman"/>
          <w:sz w:val="24"/>
          <w:szCs w:val="24"/>
        </w:rPr>
        <w:t xml:space="preserve"> Plano de Benefícios</w:t>
      </w:r>
      <w:r w:rsidR="000A7D6A">
        <w:rPr>
          <w:rFonts w:ascii="Times New Roman" w:hAnsi="Times New Roman" w:cs="Times New Roman"/>
          <w:sz w:val="24"/>
          <w:szCs w:val="24"/>
        </w:rPr>
        <w:t xml:space="preserve"> e</w:t>
      </w:r>
      <w:r w:rsidRPr="00BE40BD">
        <w:rPr>
          <w:rFonts w:ascii="Times New Roman" w:hAnsi="Times New Roman" w:cs="Times New Roman"/>
          <w:sz w:val="24"/>
          <w:szCs w:val="24"/>
        </w:rPr>
        <w:t xml:space="preserve"> valores dos benefícios – </w:t>
      </w:r>
      <w:r>
        <w:rPr>
          <w:rFonts w:ascii="Times New Roman" w:hAnsi="Times New Roman" w:cs="Times New Roman"/>
          <w:sz w:val="24"/>
          <w:szCs w:val="24"/>
        </w:rPr>
        <w:t xml:space="preserve">tais </w:t>
      </w:r>
      <w:r w:rsidRPr="00BE40BD">
        <w:rPr>
          <w:rFonts w:ascii="Times New Roman" w:hAnsi="Times New Roman" w:cs="Times New Roman"/>
          <w:sz w:val="24"/>
          <w:szCs w:val="24"/>
        </w:rPr>
        <w:t xml:space="preserve">aspectos </w:t>
      </w:r>
      <w:r>
        <w:rPr>
          <w:rFonts w:ascii="Times New Roman" w:hAnsi="Times New Roman" w:cs="Times New Roman"/>
          <w:sz w:val="24"/>
          <w:szCs w:val="24"/>
        </w:rPr>
        <w:t xml:space="preserve">ficam </w:t>
      </w:r>
      <w:r w:rsidRPr="00BE40BD">
        <w:rPr>
          <w:rFonts w:ascii="Times New Roman" w:hAnsi="Times New Roman" w:cs="Times New Roman"/>
          <w:sz w:val="24"/>
          <w:szCs w:val="24"/>
        </w:rPr>
        <w:t>transferidos para posterior definição pelo Conselho Deliberativo do POAPrev [Artigo 18].</w:t>
      </w:r>
      <w:r>
        <w:rPr>
          <w:rFonts w:ascii="Times New Roman" w:hAnsi="Times New Roman" w:cs="Times New Roman"/>
          <w:sz w:val="24"/>
          <w:szCs w:val="24"/>
        </w:rPr>
        <w:t xml:space="preserve"> A despeito disso, contudo, o Executivo sustenta que “</w:t>
      </w:r>
      <w:r w:rsidRPr="00EC333E">
        <w:rPr>
          <w:rFonts w:ascii="Times New Roman" w:eastAsia="Times New Roman" w:hAnsi="Times New Roman"/>
          <w:i/>
          <w:sz w:val="24"/>
          <w:szCs w:val="24"/>
        </w:rPr>
        <w:t>Conforme simulações realizadas, é possível verificar que a contribuição de 8,5% (oito vírgula cinco por cento) é suficiente para assegurar que os valores dos proventos a serem pagos serão muito próximo aos valores que recebem os atuais aposentados do regime previdenciário, podendo variar para mais ou para menos de acordo com o tempo e o percentual de contribuição</w:t>
      </w:r>
      <w:r>
        <w:rPr>
          <w:rFonts w:ascii="Times New Roman" w:eastAsia="Times New Roman" w:hAnsi="Times New Roman"/>
          <w:sz w:val="24"/>
          <w:szCs w:val="24"/>
        </w:rPr>
        <w:t xml:space="preserve">”. Esta assertiva carece de comprovação matemática, pois a simples comparação do modelo vigente para assegurar integralidade de aposentadorias [aporte de 14% do servidor + </w:t>
      </w:r>
      <w:r w:rsidR="00CA610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18,96</w:t>
      </w:r>
      <w:r w:rsidR="00CA610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% </w:t>
      </w:r>
      <w:r w:rsidR="00CA610E">
        <w:rPr>
          <w:rFonts w:ascii="Times New Roman" w:eastAsia="Times New Roman" w:hAnsi="Times New Roman"/>
          <w:sz w:val="24"/>
          <w:szCs w:val="24"/>
        </w:rPr>
        <w:t xml:space="preserve">+ 5,175% </w:t>
      </w:r>
      <w:r>
        <w:rPr>
          <w:rFonts w:ascii="Times New Roman" w:eastAsia="Times New Roman" w:hAnsi="Times New Roman"/>
          <w:sz w:val="24"/>
          <w:szCs w:val="24"/>
        </w:rPr>
        <w:t>da PMPA</w:t>
      </w:r>
      <w:r w:rsidR="00CA610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= 3</w:t>
      </w:r>
      <w:r w:rsidR="00CA610E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CA610E">
        <w:rPr>
          <w:rFonts w:ascii="Times New Roman" w:eastAsia="Times New Roman" w:hAnsi="Times New Roman"/>
          <w:sz w:val="24"/>
          <w:szCs w:val="24"/>
        </w:rPr>
        <w:t>144</w:t>
      </w:r>
      <w:r>
        <w:rPr>
          <w:rFonts w:ascii="Times New Roman" w:eastAsia="Times New Roman" w:hAnsi="Times New Roman"/>
          <w:sz w:val="24"/>
          <w:szCs w:val="24"/>
        </w:rPr>
        <w:t>%] com o proposto [contribuições máximas de 8,5% do servidor e da PMPA = 17%] desautoriza afirmar-se “</w:t>
      </w:r>
      <w:r w:rsidR="00CD10A6" w:rsidRPr="00CD10A6">
        <w:rPr>
          <w:rFonts w:ascii="Times New Roman" w:eastAsia="Times New Roman" w:hAnsi="Times New Roman"/>
          <w:i/>
          <w:sz w:val="24"/>
          <w:szCs w:val="24"/>
        </w:rPr>
        <w:t xml:space="preserve">que </w:t>
      </w:r>
      <w:r w:rsidRPr="00EC333E">
        <w:rPr>
          <w:rFonts w:ascii="Times New Roman" w:eastAsia="Times New Roman" w:hAnsi="Times New Roman"/>
          <w:i/>
          <w:sz w:val="24"/>
          <w:szCs w:val="24"/>
        </w:rPr>
        <w:t>a contribuição de 8,5%  é suficiente para assegurar que os valores dos proventos a serem pagos serão muito próximo aos valores que recebem os atuais aposentados</w:t>
      </w:r>
      <w:r w:rsidRPr="00000F37">
        <w:rPr>
          <w:rFonts w:ascii="Times New Roman" w:eastAsia="Times New Roman" w:hAnsi="Times New Roman"/>
          <w:sz w:val="24"/>
          <w:szCs w:val="24"/>
        </w:rPr>
        <w:t>”</w:t>
      </w:r>
      <w:r w:rsidR="007E584C">
        <w:rPr>
          <w:rFonts w:ascii="Times New Roman" w:eastAsia="Times New Roman" w:hAnsi="Times New Roman"/>
          <w:sz w:val="24"/>
          <w:szCs w:val="24"/>
        </w:rPr>
        <w:t>;</w:t>
      </w:r>
    </w:p>
    <w:p w:rsidR="007E584C" w:rsidRPr="007E584C" w:rsidRDefault="002546F8" w:rsidP="008A1998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é possível atestar que a contribuição de </w:t>
      </w:r>
      <w:r w:rsidR="000A7D6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% é suficiente </w:t>
      </w:r>
      <w:r w:rsidR="008A1998" w:rsidRPr="008A1998">
        <w:rPr>
          <w:rFonts w:ascii="Times New Roman" w:hAnsi="Times New Roman" w:cs="Times New Roman"/>
          <w:sz w:val="24"/>
          <w:szCs w:val="24"/>
        </w:rPr>
        <w:t xml:space="preserve">para assegurar que os valores dos proventos a serem pagos serão muito próximos aos valores que recebem os atuais aposentados, então é possível garantir para os </w:t>
      </w:r>
      <w:r w:rsidR="000A7D6A">
        <w:rPr>
          <w:rFonts w:ascii="Times New Roman" w:hAnsi="Times New Roman" w:cs="Times New Roman"/>
          <w:sz w:val="24"/>
          <w:szCs w:val="24"/>
        </w:rPr>
        <w:t>resgate</w:t>
      </w:r>
      <w:r w:rsidR="008A1998" w:rsidRPr="008A1998">
        <w:rPr>
          <w:rFonts w:ascii="Times New Roman" w:hAnsi="Times New Roman" w:cs="Times New Roman"/>
          <w:sz w:val="24"/>
          <w:szCs w:val="24"/>
        </w:rPr>
        <w:t xml:space="preserve">s </w:t>
      </w:r>
      <w:r w:rsidR="000A7D6A">
        <w:rPr>
          <w:rFonts w:ascii="Times New Roman" w:hAnsi="Times New Roman" w:cs="Times New Roman"/>
          <w:sz w:val="24"/>
          <w:szCs w:val="24"/>
        </w:rPr>
        <w:t xml:space="preserve">individuais </w:t>
      </w:r>
      <w:r w:rsidR="008A1998" w:rsidRPr="008A1998">
        <w:rPr>
          <w:rFonts w:ascii="Times New Roman" w:hAnsi="Times New Roman" w:cs="Times New Roman"/>
          <w:sz w:val="24"/>
          <w:szCs w:val="24"/>
        </w:rPr>
        <w:t>um valor mínimo igual aos valores que recebem os atuais aposentados</w:t>
      </w:r>
      <w:r w:rsidR="008A1998">
        <w:rPr>
          <w:rFonts w:ascii="Times New Roman" w:hAnsi="Times New Roman" w:cs="Times New Roman"/>
          <w:sz w:val="24"/>
          <w:szCs w:val="24"/>
        </w:rPr>
        <w:t>;</w:t>
      </w:r>
    </w:p>
    <w:p w:rsidR="007E584C" w:rsidRPr="00756A91" w:rsidRDefault="007E584C" w:rsidP="00FB292B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46D31">
        <w:rPr>
          <w:rFonts w:ascii="Times New Roman" w:eastAsia="Times New Roman" w:hAnsi="Times New Roman"/>
          <w:sz w:val="24"/>
          <w:szCs w:val="24"/>
        </w:rPr>
        <w:t xml:space="preserve">o “atrativo” de percentuais reduzidos de contribuição – que,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sabe-se empiricamente, </w:t>
      </w:r>
      <w:r w:rsidRPr="00B46D31">
        <w:rPr>
          <w:rFonts w:ascii="Times New Roman" w:eastAsia="Times New Roman" w:hAnsi="Times New Roman"/>
          <w:sz w:val="24"/>
          <w:szCs w:val="24"/>
        </w:rPr>
        <w:t xml:space="preserve">impossibilita a viabilização de um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verdadeiro </w:t>
      </w:r>
      <w:r w:rsidRPr="00B46D31">
        <w:rPr>
          <w:rFonts w:ascii="Times New Roman" w:eastAsia="Times New Roman" w:hAnsi="Times New Roman"/>
          <w:sz w:val="24"/>
          <w:szCs w:val="24"/>
        </w:rPr>
        <w:t>plano previdenciário</w:t>
      </w:r>
      <w:r w:rsidR="00D3175D" w:rsidRPr="00B46D31">
        <w:rPr>
          <w:rFonts w:ascii="Times New Roman" w:eastAsia="Times New Roman" w:hAnsi="Times New Roman"/>
          <w:sz w:val="24"/>
          <w:szCs w:val="24"/>
        </w:rPr>
        <w:t xml:space="preserve"> –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 teria ainda como efeito colateral o achatamento das aposentadorias d</w:t>
      </w:r>
      <w:r w:rsidRPr="00B46D31">
        <w:rPr>
          <w:rFonts w:ascii="Times New Roman" w:eastAsia="Times New Roman" w:hAnsi="Times New Roman"/>
          <w:sz w:val="24"/>
          <w:szCs w:val="24"/>
        </w:rPr>
        <w:t xml:space="preserve">o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atual </w:t>
      </w:r>
      <w:r w:rsidRPr="00B46D31">
        <w:rPr>
          <w:rFonts w:ascii="Times New Roman" w:eastAsia="Times New Roman" w:hAnsi="Times New Roman"/>
          <w:sz w:val="24"/>
          <w:szCs w:val="24"/>
        </w:rPr>
        <w:t xml:space="preserve">regime capitalizado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no teto </w:t>
      </w:r>
      <w:r w:rsidRPr="00B46D31">
        <w:rPr>
          <w:rFonts w:ascii="Times New Roman" w:eastAsia="Times New Roman" w:hAnsi="Times New Roman"/>
          <w:sz w:val="24"/>
          <w:szCs w:val="24"/>
        </w:rPr>
        <w:t xml:space="preserve">do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RGPS – realidade prejudicial aos segurados atuais, </w:t>
      </w:r>
      <w:r w:rsidR="002B63F5">
        <w:rPr>
          <w:rFonts w:ascii="Times New Roman" w:eastAsia="Times New Roman" w:hAnsi="Times New Roman"/>
          <w:sz w:val="24"/>
          <w:szCs w:val="24"/>
        </w:rPr>
        <w:t xml:space="preserve">cujos dispositivos legais vigentes </w:t>
      </w:r>
      <w:r w:rsidR="00B46D31">
        <w:rPr>
          <w:rFonts w:ascii="Times New Roman" w:eastAsia="Times New Roman" w:hAnsi="Times New Roman"/>
          <w:sz w:val="24"/>
          <w:szCs w:val="24"/>
        </w:rPr>
        <w:t>p</w:t>
      </w:r>
      <w:r w:rsidR="002B63F5">
        <w:rPr>
          <w:rFonts w:ascii="Times New Roman" w:eastAsia="Times New Roman" w:hAnsi="Times New Roman"/>
          <w:sz w:val="24"/>
          <w:szCs w:val="24"/>
        </w:rPr>
        <w:t xml:space="preserve">ermitem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aposentar-se com valores superiores, </w:t>
      </w:r>
      <w:r w:rsidRPr="00B46D31">
        <w:rPr>
          <w:rFonts w:ascii="Times New Roman" w:eastAsia="Times New Roman" w:hAnsi="Times New Roman"/>
          <w:sz w:val="24"/>
          <w:szCs w:val="24"/>
        </w:rPr>
        <w:t>calculad</w:t>
      </w:r>
      <w:r w:rsidR="00B46D31">
        <w:rPr>
          <w:rFonts w:ascii="Times New Roman" w:eastAsia="Times New Roman" w:hAnsi="Times New Roman"/>
          <w:sz w:val="24"/>
          <w:szCs w:val="24"/>
        </w:rPr>
        <w:t>o</w:t>
      </w:r>
      <w:r w:rsidRPr="00B46D31">
        <w:rPr>
          <w:rFonts w:ascii="Times New Roman" w:eastAsia="Times New Roman" w:hAnsi="Times New Roman"/>
          <w:sz w:val="24"/>
          <w:szCs w:val="24"/>
        </w:rPr>
        <w:t xml:space="preserve">s à base de 80% das </w:t>
      </w:r>
      <w:r w:rsidR="00B46D31">
        <w:rPr>
          <w:rFonts w:ascii="Times New Roman" w:eastAsia="Times New Roman" w:hAnsi="Times New Roman"/>
          <w:sz w:val="24"/>
          <w:szCs w:val="24"/>
        </w:rPr>
        <w:t xml:space="preserve">maiores </w:t>
      </w:r>
      <w:r w:rsidRPr="00B46D31">
        <w:rPr>
          <w:rFonts w:ascii="Times New Roman" w:eastAsia="Times New Roman" w:hAnsi="Times New Roman"/>
          <w:sz w:val="24"/>
          <w:szCs w:val="24"/>
        </w:rPr>
        <w:t>contribuições</w:t>
      </w:r>
      <w:r w:rsidR="00756A91">
        <w:rPr>
          <w:rFonts w:ascii="Times New Roman" w:eastAsia="Times New Roman" w:hAnsi="Times New Roman"/>
          <w:sz w:val="24"/>
          <w:szCs w:val="24"/>
        </w:rPr>
        <w:t xml:space="preserve">, </w:t>
      </w:r>
      <w:r w:rsidR="00756A91">
        <w:rPr>
          <w:rFonts w:ascii="Times New Roman" w:hAnsi="Times New Roman" w:cs="Times New Roman"/>
          <w:sz w:val="24"/>
          <w:szCs w:val="24"/>
        </w:rPr>
        <w:t>e, finalmente</w:t>
      </w:r>
      <w:r w:rsidR="00756A91">
        <w:rPr>
          <w:rFonts w:ascii="Times New Roman" w:eastAsia="Times New Roman" w:hAnsi="Times New Roman"/>
          <w:sz w:val="24"/>
          <w:szCs w:val="24"/>
        </w:rPr>
        <w:t>;</w:t>
      </w:r>
    </w:p>
    <w:p w:rsidR="00756A91" w:rsidRPr="00756A91" w:rsidRDefault="00756A91" w:rsidP="00756A91">
      <w:pPr>
        <w:pStyle w:val="PargrafodaLista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PL carece de previsão quanto a garantias, responsabilidades, pagamento de resgates, dívidas e compromissos em caso de insolvência, quebra ou falência do Ente; gerando riscos de enormes prejuízos e passivos financeiros ao Município.</w:t>
      </w:r>
    </w:p>
    <w:p w:rsidR="00773A48" w:rsidRDefault="00000F37" w:rsidP="00000F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 vista dos argumentos acima expostos, o Conselho de Administração do PREVIMPA posicion</w:t>
      </w:r>
      <w:r w:rsidR="000A7D6A"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z w:val="24"/>
          <w:szCs w:val="24"/>
        </w:rPr>
        <w:t>-se contrariamente ao Projeto de Lei Complementar nº 07/2018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, pois o mesmo </w:t>
      </w:r>
      <w:r w:rsidR="00773A48">
        <w:rPr>
          <w:rFonts w:ascii="Times New Roman" w:eastAsia="Times New Roman" w:hAnsi="Times New Roman"/>
          <w:sz w:val="24"/>
          <w:szCs w:val="24"/>
        </w:rPr>
        <w:t>não atende ao interesse público.</w:t>
      </w:r>
    </w:p>
    <w:p w:rsidR="00A93751" w:rsidRDefault="00773A48" w:rsidP="00000F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Projeto</w:t>
      </w:r>
      <w:r w:rsidR="00B36CE1">
        <w:rPr>
          <w:rFonts w:ascii="Times New Roman" w:eastAsia="Times New Roman" w:hAnsi="Times New Roman"/>
          <w:sz w:val="24"/>
          <w:szCs w:val="24"/>
        </w:rPr>
        <w:t xml:space="preserve">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não se afigura como solução adequada ao desafio estrutural de garantir regime previdenciário sustentável e justo, bem como não contribui para a melhoria das </w:t>
      </w:r>
      <w:r>
        <w:rPr>
          <w:rFonts w:ascii="Times New Roman" w:eastAsia="Times New Roman" w:hAnsi="Times New Roman"/>
          <w:sz w:val="24"/>
          <w:szCs w:val="24"/>
        </w:rPr>
        <w:t xml:space="preserve">contas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públicas – ao contrário, </w:t>
      </w:r>
      <w:r w:rsidR="00F557AA">
        <w:rPr>
          <w:rFonts w:ascii="Times New Roman" w:eastAsia="Times New Roman" w:hAnsi="Times New Roman"/>
          <w:sz w:val="24"/>
          <w:szCs w:val="24"/>
        </w:rPr>
        <w:t xml:space="preserve">além de fragilizar o PREVIMPA,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pode </w:t>
      </w:r>
      <w:r>
        <w:rPr>
          <w:rFonts w:ascii="Times New Roman" w:eastAsia="Times New Roman" w:hAnsi="Times New Roman"/>
          <w:sz w:val="24"/>
          <w:szCs w:val="24"/>
        </w:rPr>
        <w:t xml:space="preserve">inclusive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prejudicar as </w:t>
      </w:r>
      <w:r>
        <w:rPr>
          <w:rFonts w:ascii="Times New Roman" w:eastAsia="Times New Roman" w:hAnsi="Times New Roman"/>
          <w:sz w:val="24"/>
          <w:szCs w:val="24"/>
        </w:rPr>
        <w:t xml:space="preserve">finanças municipais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com a criação de uma estrutura deficitária e </w:t>
      </w:r>
      <w:r>
        <w:rPr>
          <w:rFonts w:ascii="Times New Roman" w:eastAsia="Times New Roman" w:hAnsi="Times New Roman"/>
          <w:sz w:val="24"/>
          <w:szCs w:val="24"/>
        </w:rPr>
        <w:t xml:space="preserve">exposta aos </w:t>
      </w:r>
      <w:r w:rsidR="00A93751">
        <w:rPr>
          <w:rFonts w:ascii="Times New Roman" w:eastAsia="Times New Roman" w:hAnsi="Times New Roman"/>
          <w:sz w:val="24"/>
          <w:szCs w:val="24"/>
        </w:rPr>
        <w:t>risco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="00A93751">
        <w:rPr>
          <w:rFonts w:ascii="Times New Roman" w:eastAsia="Times New Roman" w:hAnsi="Times New Roman"/>
          <w:sz w:val="24"/>
          <w:szCs w:val="24"/>
        </w:rPr>
        <w:t>o mercado financeiro.</w:t>
      </w:r>
    </w:p>
    <w:p w:rsidR="00015881" w:rsidRDefault="0064362A" w:rsidP="00000F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16DD5">
        <w:rPr>
          <w:rFonts w:ascii="Times New Roman" w:eastAsia="Times New Roman" w:hAnsi="Times New Roman"/>
          <w:sz w:val="24"/>
          <w:szCs w:val="24"/>
        </w:rPr>
        <w:t xml:space="preserve">Atendendo o disposto no </w:t>
      </w:r>
      <w:r w:rsidR="00A16DD5" w:rsidRPr="00A16DD5">
        <w:rPr>
          <w:rFonts w:ascii="Times New Roman" w:eastAsia="Times New Roman" w:hAnsi="Times New Roman"/>
          <w:sz w:val="24"/>
          <w:szCs w:val="24"/>
        </w:rPr>
        <w:t>A</w:t>
      </w:r>
      <w:r w:rsidRPr="00A16DD5">
        <w:rPr>
          <w:rFonts w:ascii="Times New Roman" w:eastAsia="Times New Roman" w:hAnsi="Times New Roman"/>
          <w:sz w:val="24"/>
          <w:szCs w:val="24"/>
        </w:rPr>
        <w:t>rt</w:t>
      </w:r>
      <w:r w:rsidR="00A16DD5" w:rsidRPr="00A16DD5">
        <w:rPr>
          <w:rFonts w:ascii="Times New Roman" w:eastAsia="Times New Roman" w:hAnsi="Times New Roman"/>
          <w:sz w:val="24"/>
          <w:szCs w:val="24"/>
        </w:rPr>
        <w:t>igo</w:t>
      </w:r>
      <w:r w:rsidRPr="00A16DD5">
        <w:rPr>
          <w:rFonts w:ascii="Times New Roman" w:eastAsia="Times New Roman" w:hAnsi="Times New Roman"/>
          <w:sz w:val="24"/>
          <w:szCs w:val="24"/>
        </w:rPr>
        <w:t xml:space="preserve"> 17</w:t>
      </w:r>
      <w:r w:rsidR="00A16DD5">
        <w:rPr>
          <w:rFonts w:ascii="Times New Roman" w:eastAsia="Times New Roman" w:hAnsi="Times New Roman"/>
          <w:sz w:val="24"/>
          <w:szCs w:val="24"/>
        </w:rPr>
        <w:t>,</w:t>
      </w:r>
      <w:r w:rsidR="00D27158" w:rsidRPr="00A16DD5">
        <w:rPr>
          <w:rFonts w:ascii="Times New Roman" w:eastAsia="Times New Roman" w:hAnsi="Times New Roman"/>
          <w:sz w:val="24"/>
          <w:szCs w:val="24"/>
        </w:rPr>
        <w:t xml:space="preserve"> </w:t>
      </w:r>
      <w:r w:rsidR="00A16DD5" w:rsidRPr="00A16DD5">
        <w:rPr>
          <w:rFonts w:ascii="Times New Roman" w:eastAsia="Times New Roman" w:hAnsi="Times New Roman"/>
          <w:sz w:val="24"/>
          <w:szCs w:val="24"/>
        </w:rPr>
        <w:t xml:space="preserve">inciso </w:t>
      </w:r>
      <w:r w:rsidRPr="00A16DD5">
        <w:rPr>
          <w:rFonts w:ascii="Times New Roman" w:eastAsia="Times New Roman" w:hAnsi="Times New Roman"/>
          <w:sz w:val="24"/>
          <w:szCs w:val="24"/>
        </w:rPr>
        <w:t xml:space="preserve">V da </w:t>
      </w:r>
      <w:r w:rsidR="00A16DD5" w:rsidRPr="00A16DD5">
        <w:rPr>
          <w:rFonts w:ascii="Times New Roman" w:eastAsia="Times New Roman" w:hAnsi="Times New Roman"/>
          <w:sz w:val="24"/>
          <w:szCs w:val="24"/>
        </w:rPr>
        <w:t>L</w:t>
      </w:r>
      <w:r w:rsidRPr="00A16DD5">
        <w:rPr>
          <w:rFonts w:ascii="Times New Roman" w:eastAsia="Times New Roman" w:hAnsi="Times New Roman"/>
          <w:sz w:val="24"/>
          <w:szCs w:val="24"/>
        </w:rPr>
        <w:t xml:space="preserve">ei </w:t>
      </w:r>
      <w:r w:rsidR="00A16DD5" w:rsidRPr="00A16DD5">
        <w:rPr>
          <w:rFonts w:ascii="Times New Roman" w:eastAsia="Times New Roman" w:hAnsi="Times New Roman"/>
          <w:sz w:val="24"/>
          <w:szCs w:val="24"/>
        </w:rPr>
        <w:t>C</w:t>
      </w:r>
      <w:r w:rsidRPr="00A16DD5">
        <w:rPr>
          <w:rFonts w:ascii="Times New Roman" w:eastAsia="Times New Roman" w:hAnsi="Times New Roman"/>
          <w:sz w:val="24"/>
          <w:szCs w:val="24"/>
        </w:rPr>
        <w:t xml:space="preserve">omplementar Municipal 478/2002, </w:t>
      </w:r>
      <w:r w:rsidR="00D27158" w:rsidRPr="00A16DD5">
        <w:rPr>
          <w:rFonts w:ascii="Times New Roman" w:eastAsia="Times New Roman" w:hAnsi="Times New Roman"/>
          <w:sz w:val="24"/>
          <w:szCs w:val="24"/>
        </w:rPr>
        <w:t>que estabelece</w:t>
      </w:r>
      <w:r w:rsidRPr="00A16DD5">
        <w:rPr>
          <w:rFonts w:ascii="Times New Roman" w:eastAsia="Times New Roman" w:hAnsi="Times New Roman"/>
          <w:sz w:val="24"/>
          <w:szCs w:val="24"/>
        </w:rPr>
        <w:t xml:space="preserve"> o órgão encarregado de executar as deliberações colegiadas, o</w:t>
      </w:r>
      <w:r w:rsidR="00A93751" w:rsidRPr="00A16DD5">
        <w:rPr>
          <w:rFonts w:ascii="Times New Roman" w:eastAsia="Times New Roman" w:hAnsi="Times New Roman"/>
          <w:sz w:val="24"/>
          <w:szCs w:val="24"/>
        </w:rPr>
        <w:t xml:space="preserve"> Conselho de Administração determina, por fim, que</w:t>
      </w:r>
      <w:r w:rsidR="00D27158" w:rsidRPr="00A16DD5">
        <w:rPr>
          <w:rFonts w:ascii="Times New Roman" w:eastAsia="Times New Roman" w:hAnsi="Times New Roman"/>
          <w:sz w:val="24"/>
          <w:szCs w:val="24"/>
        </w:rPr>
        <w:t xml:space="preserve"> a Direção-Geral</w:t>
      </w:r>
      <w:r w:rsidR="00A93751" w:rsidRPr="00A16DD5">
        <w:rPr>
          <w:rFonts w:ascii="Times New Roman" w:eastAsia="Times New Roman" w:hAnsi="Times New Roman"/>
          <w:sz w:val="24"/>
          <w:szCs w:val="24"/>
        </w:rPr>
        <w:t xml:space="preserve">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do PREVIMPA </w:t>
      </w:r>
      <w:r w:rsidR="00A16DD5">
        <w:rPr>
          <w:rFonts w:ascii="Times New Roman" w:eastAsia="Times New Roman" w:hAnsi="Times New Roman"/>
          <w:sz w:val="24"/>
          <w:szCs w:val="24"/>
        </w:rPr>
        <w:t>comunique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 </w:t>
      </w:r>
      <w:r w:rsidR="000A7D6A">
        <w:rPr>
          <w:rFonts w:ascii="Times New Roman" w:eastAsia="Times New Roman" w:hAnsi="Times New Roman"/>
          <w:sz w:val="24"/>
          <w:szCs w:val="24"/>
        </w:rPr>
        <w:t xml:space="preserve">imediatamente ao Chefe do Poder Executivo </w:t>
      </w:r>
      <w:bookmarkStart w:id="0" w:name="_GoBack"/>
      <w:bookmarkEnd w:id="0"/>
      <w:r w:rsidR="000A7D6A">
        <w:rPr>
          <w:rFonts w:ascii="Times New Roman" w:eastAsia="Times New Roman" w:hAnsi="Times New Roman"/>
          <w:sz w:val="24"/>
          <w:szCs w:val="24"/>
        </w:rPr>
        <w:t xml:space="preserve">o posicionamento desse Colegiado, para que o presente Parecer seja publicado nos canais oficiais </w:t>
      </w:r>
      <w:r w:rsidR="006779B6">
        <w:rPr>
          <w:rFonts w:ascii="Times New Roman" w:eastAsia="Times New Roman" w:hAnsi="Times New Roman"/>
          <w:sz w:val="24"/>
          <w:szCs w:val="24"/>
        </w:rPr>
        <w:t xml:space="preserve">da PMPA </w:t>
      </w:r>
      <w:r w:rsidR="000A7D6A">
        <w:rPr>
          <w:rFonts w:ascii="Times New Roman" w:eastAsia="Times New Roman" w:hAnsi="Times New Roman"/>
          <w:sz w:val="24"/>
          <w:szCs w:val="24"/>
        </w:rPr>
        <w:t>e levado ao conhecimento da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 Câmara Municipal de Vereadores, com o pedido de que </w:t>
      </w:r>
      <w:r w:rsidR="00015881">
        <w:rPr>
          <w:rFonts w:ascii="Times New Roman" w:eastAsia="Times New Roman" w:hAnsi="Times New Roman"/>
          <w:sz w:val="24"/>
          <w:szCs w:val="24"/>
        </w:rPr>
        <w:t xml:space="preserve">aquela Casa Legislativa rejeite 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o </w:t>
      </w:r>
      <w:r w:rsidR="005726D6">
        <w:rPr>
          <w:rFonts w:ascii="Times New Roman" w:eastAsia="Times New Roman" w:hAnsi="Times New Roman"/>
          <w:sz w:val="24"/>
          <w:szCs w:val="24"/>
        </w:rPr>
        <w:t>PLC n</w:t>
      </w:r>
      <w:r w:rsidR="00A93751">
        <w:rPr>
          <w:rFonts w:ascii="Times New Roman" w:eastAsia="Times New Roman" w:hAnsi="Times New Roman"/>
          <w:sz w:val="24"/>
          <w:szCs w:val="24"/>
        </w:rPr>
        <w:t xml:space="preserve">º </w:t>
      </w:r>
      <w:r w:rsidR="00015881">
        <w:rPr>
          <w:rFonts w:ascii="Times New Roman" w:eastAsia="Times New Roman" w:hAnsi="Times New Roman"/>
          <w:sz w:val="24"/>
          <w:szCs w:val="24"/>
        </w:rPr>
        <w:t>07/2018 na íntegra.</w:t>
      </w:r>
    </w:p>
    <w:p w:rsidR="00A16DD5" w:rsidRDefault="00A16DD5" w:rsidP="00000F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46F8" w:rsidRDefault="00015881" w:rsidP="004C4A4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 Porto Alegre, </w:t>
      </w:r>
      <w:r w:rsidR="000A7D6A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de maio de 2018.</w:t>
      </w:r>
    </w:p>
    <w:p w:rsidR="0045067C" w:rsidRDefault="0045067C" w:rsidP="004C4A4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7F0" w:rsidRDefault="006C57F0" w:rsidP="004C4A4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067C" w:rsidRDefault="006C57F0" w:rsidP="006C57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Edmilson Todeschini</w:t>
      </w:r>
    </w:p>
    <w:p w:rsidR="006C57F0" w:rsidRDefault="006C57F0" w:rsidP="004C4A4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Presidente do Conselho de Administração</w:t>
      </w:r>
    </w:p>
    <w:sectPr w:rsidR="006C57F0" w:rsidSect="006779B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A7" w:rsidRDefault="00373AA7" w:rsidP="00B24339">
      <w:pPr>
        <w:spacing w:after="0" w:line="240" w:lineRule="auto"/>
      </w:pPr>
      <w:r>
        <w:separator/>
      </w:r>
    </w:p>
  </w:endnote>
  <w:endnote w:type="continuationSeparator" w:id="0">
    <w:p w:rsidR="00373AA7" w:rsidRDefault="00373AA7" w:rsidP="00B2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A7" w:rsidRDefault="00373AA7" w:rsidP="00B24339">
      <w:pPr>
        <w:spacing w:after="0" w:line="240" w:lineRule="auto"/>
      </w:pPr>
      <w:r>
        <w:separator/>
      </w:r>
    </w:p>
  </w:footnote>
  <w:footnote w:type="continuationSeparator" w:id="0">
    <w:p w:rsidR="00373AA7" w:rsidRDefault="00373AA7" w:rsidP="00B2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1959"/>
    <w:multiLevelType w:val="hybridMultilevel"/>
    <w:tmpl w:val="445A9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221B"/>
    <w:multiLevelType w:val="hybridMultilevel"/>
    <w:tmpl w:val="8DF20074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134D"/>
    <w:multiLevelType w:val="multilevel"/>
    <w:tmpl w:val="33B6215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91E5C"/>
    <w:multiLevelType w:val="hybridMultilevel"/>
    <w:tmpl w:val="8DF20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2"/>
    <w:rsid w:val="00000F37"/>
    <w:rsid w:val="00004DBF"/>
    <w:rsid w:val="00015881"/>
    <w:rsid w:val="000161A0"/>
    <w:rsid w:val="00031C94"/>
    <w:rsid w:val="00040985"/>
    <w:rsid w:val="00060870"/>
    <w:rsid w:val="000771B2"/>
    <w:rsid w:val="00077A6A"/>
    <w:rsid w:val="00084178"/>
    <w:rsid w:val="00094F1E"/>
    <w:rsid w:val="00094F90"/>
    <w:rsid w:val="00097AEC"/>
    <w:rsid w:val="000A4A36"/>
    <w:rsid w:val="000A7D6A"/>
    <w:rsid w:val="000C5FEF"/>
    <w:rsid w:val="000E68DA"/>
    <w:rsid w:val="000F01E5"/>
    <w:rsid w:val="000F39F3"/>
    <w:rsid w:val="001124F8"/>
    <w:rsid w:val="001A405C"/>
    <w:rsid w:val="001A7FF4"/>
    <w:rsid w:val="001B3387"/>
    <w:rsid w:val="001B4541"/>
    <w:rsid w:val="001C0805"/>
    <w:rsid w:val="001D51E6"/>
    <w:rsid w:val="001E4CFA"/>
    <w:rsid w:val="001F0A5D"/>
    <w:rsid w:val="001F712D"/>
    <w:rsid w:val="002134EE"/>
    <w:rsid w:val="00243362"/>
    <w:rsid w:val="002455CA"/>
    <w:rsid w:val="002546F8"/>
    <w:rsid w:val="00254F15"/>
    <w:rsid w:val="0026186F"/>
    <w:rsid w:val="00263F33"/>
    <w:rsid w:val="00270431"/>
    <w:rsid w:val="00290D39"/>
    <w:rsid w:val="00296EF2"/>
    <w:rsid w:val="002B63F5"/>
    <w:rsid w:val="002D4F55"/>
    <w:rsid w:val="002F379F"/>
    <w:rsid w:val="00306638"/>
    <w:rsid w:val="00335275"/>
    <w:rsid w:val="0033663D"/>
    <w:rsid w:val="00373AA7"/>
    <w:rsid w:val="003753F4"/>
    <w:rsid w:val="003908AE"/>
    <w:rsid w:val="00391322"/>
    <w:rsid w:val="0039547B"/>
    <w:rsid w:val="003B5E1E"/>
    <w:rsid w:val="003D5F82"/>
    <w:rsid w:val="003D7772"/>
    <w:rsid w:val="003E676F"/>
    <w:rsid w:val="004057BA"/>
    <w:rsid w:val="0042489D"/>
    <w:rsid w:val="00432ACE"/>
    <w:rsid w:val="00440C84"/>
    <w:rsid w:val="0045067C"/>
    <w:rsid w:val="004A48B7"/>
    <w:rsid w:val="004B2761"/>
    <w:rsid w:val="004B2B7E"/>
    <w:rsid w:val="004C1911"/>
    <w:rsid w:val="004C4A40"/>
    <w:rsid w:val="0050221B"/>
    <w:rsid w:val="00504B67"/>
    <w:rsid w:val="005111DD"/>
    <w:rsid w:val="005127C1"/>
    <w:rsid w:val="0052079F"/>
    <w:rsid w:val="00523CE0"/>
    <w:rsid w:val="00524A41"/>
    <w:rsid w:val="00525438"/>
    <w:rsid w:val="00533BF1"/>
    <w:rsid w:val="00543E5B"/>
    <w:rsid w:val="005726D6"/>
    <w:rsid w:val="0057612A"/>
    <w:rsid w:val="00580B53"/>
    <w:rsid w:val="00587822"/>
    <w:rsid w:val="00590756"/>
    <w:rsid w:val="00597002"/>
    <w:rsid w:val="005B66E2"/>
    <w:rsid w:val="005C1C82"/>
    <w:rsid w:val="005C48CA"/>
    <w:rsid w:val="005D6B94"/>
    <w:rsid w:val="005E2696"/>
    <w:rsid w:val="005E3AA0"/>
    <w:rsid w:val="00613F1F"/>
    <w:rsid w:val="006300FE"/>
    <w:rsid w:val="006344FB"/>
    <w:rsid w:val="00634987"/>
    <w:rsid w:val="0064362A"/>
    <w:rsid w:val="00644370"/>
    <w:rsid w:val="00645F1B"/>
    <w:rsid w:val="00660A02"/>
    <w:rsid w:val="006779B6"/>
    <w:rsid w:val="0068488B"/>
    <w:rsid w:val="006849A5"/>
    <w:rsid w:val="00697AD7"/>
    <w:rsid w:val="006A02D8"/>
    <w:rsid w:val="006A50C8"/>
    <w:rsid w:val="006C1BF1"/>
    <w:rsid w:val="006C57F0"/>
    <w:rsid w:val="006D79C3"/>
    <w:rsid w:val="006E59E9"/>
    <w:rsid w:val="006F06D8"/>
    <w:rsid w:val="006F5C44"/>
    <w:rsid w:val="0070002D"/>
    <w:rsid w:val="00756A91"/>
    <w:rsid w:val="00763685"/>
    <w:rsid w:val="00764C52"/>
    <w:rsid w:val="00770C03"/>
    <w:rsid w:val="00773A48"/>
    <w:rsid w:val="00786508"/>
    <w:rsid w:val="007B3B37"/>
    <w:rsid w:val="007B4143"/>
    <w:rsid w:val="007D63D4"/>
    <w:rsid w:val="007E584C"/>
    <w:rsid w:val="007F270C"/>
    <w:rsid w:val="00802A53"/>
    <w:rsid w:val="00804297"/>
    <w:rsid w:val="00804FED"/>
    <w:rsid w:val="0083310C"/>
    <w:rsid w:val="00834664"/>
    <w:rsid w:val="00887BB8"/>
    <w:rsid w:val="0089543F"/>
    <w:rsid w:val="00896013"/>
    <w:rsid w:val="008A1998"/>
    <w:rsid w:val="008D4C32"/>
    <w:rsid w:val="008D4DB5"/>
    <w:rsid w:val="008D6442"/>
    <w:rsid w:val="009024ED"/>
    <w:rsid w:val="009064C7"/>
    <w:rsid w:val="0093427F"/>
    <w:rsid w:val="00936259"/>
    <w:rsid w:val="009403E3"/>
    <w:rsid w:val="009720AD"/>
    <w:rsid w:val="00983A31"/>
    <w:rsid w:val="009921E4"/>
    <w:rsid w:val="009A0BD3"/>
    <w:rsid w:val="009B3AEC"/>
    <w:rsid w:val="009B4D56"/>
    <w:rsid w:val="009C215E"/>
    <w:rsid w:val="00A11324"/>
    <w:rsid w:val="00A16DD5"/>
    <w:rsid w:val="00A268E9"/>
    <w:rsid w:val="00A37CA0"/>
    <w:rsid w:val="00A500EE"/>
    <w:rsid w:val="00A613F5"/>
    <w:rsid w:val="00A93751"/>
    <w:rsid w:val="00A96E34"/>
    <w:rsid w:val="00AA6B2C"/>
    <w:rsid w:val="00AB2A88"/>
    <w:rsid w:val="00AB3F9A"/>
    <w:rsid w:val="00B00749"/>
    <w:rsid w:val="00B05C23"/>
    <w:rsid w:val="00B12D14"/>
    <w:rsid w:val="00B203B6"/>
    <w:rsid w:val="00B24339"/>
    <w:rsid w:val="00B30BA0"/>
    <w:rsid w:val="00B36CE1"/>
    <w:rsid w:val="00B46D31"/>
    <w:rsid w:val="00B644BC"/>
    <w:rsid w:val="00B7758D"/>
    <w:rsid w:val="00B821A3"/>
    <w:rsid w:val="00B86541"/>
    <w:rsid w:val="00B91D75"/>
    <w:rsid w:val="00BA513B"/>
    <w:rsid w:val="00BB7C22"/>
    <w:rsid w:val="00BD4C59"/>
    <w:rsid w:val="00BE40BD"/>
    <w:rsid w:val="00BE57F1"/>
    <w:rsid w:val="00BF277E"/>
    <w:rsid w:val="00C17491"/>
    <w:rsid w:val="00C33B73"/>
    <w:rsid w:val="00C424D1"/>
    <w:rsid w:val="00C45E57"/>
    <w:rsid w:val="00C81F3F"/>
    <w:rsid w:val="00CA610E"/>
    <w:rsid w:val="00CB6082"/>
    <w:rsid w:val="00CC25DB"/>
    <w:rsid w:val="00CC30E0"/>
    <w:rsid w:val="00CD10A6"/>
    <w:rsid w:val="00CE4183"/>
    <w:rsid w:val="00CE7E58"/>
    <w:rsid w:val="00CF224C"/>
    <w:rsid w:val="00D02F3A"/>
    <w:rsid w:val="00D14740"/>
    <w:rsid w:val="00D23C74"/>
    <w:rsid w:val="00D255DC"/>
    <w:rsid w:val="00D27158"/>
    <w:rsid w:val="00D3040B"/>
    <w:rsid w:val="00D3175D"/>
    <w:rsid w:val="00D544F6"/>
    <w:rsid w:val="00D65C10"/>
    <w:rsid w:val="00DA394F"/>
    <w:rsid w:val="00DA3EF6"/>
    <w:rsid w:val="00DE5A89"/>
    <w:rsid w:val="00DE5FB2"/>
    <w:rsid w:val="00E15DE0"/>
    <w:rsid w:val="00E21A62"/>
    <w:rsid w:val="00E2420A"/>
    <w:rsid w:val="00E3748C"/>
    <w:rsid w:val="00E836B5"/>
    <w:rsid w:val="00E97E07"/>
    <w:rsid w:val="00EA0046"/>
    <w:rsid w:val="00EA25BA"/>
    <w:rsid w:val="00EA3165"/>
    <w:rsid w:val="00EA7FB7"/>
    <w:rsid w:val="00EC333E"/>
    <w:rsid w:val="00ED242A"/>
    <w:rsid w:val="00EE5D12"/>
    <w:rsid w:val="00F208BD"/>
    <w:rsid w:val="00F47FB1"/>
    <w:rsid w:val="00F557AA"/>
    <w:rsid w:val="00F66F04"/>
    <w:rsid w:val="00F82BD1"/>
    <w:rsid w:val="00F8459E"/>
    <w:rsid w:val="00FA10D9"/>
    <w:rsid w:val="00FA2E60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B05C-E456-4570-8DE9-E525EB9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C21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A88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2F379F"/>
  </w:style>
  <w:style w:type="paragraph" w:styleId="PargrafodaLista">
    <w:name w:val="List Paragraph"/>
    <w:basedOn w:val="Normal"/>
    <w:uiPriority w:val="34"/>
    <w:qFormat/>
    <w:rsid w:val="00523C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4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339"/>
  </w:style>
  <w:style w:type="paragraph" w:styleId="Rodap">
    <w:name w:val="footer"/>
    <w:basedOn w:val="Normal"/>
    <w:link w:val="RodapChar"/>
    <w:uiPriority w:val="99"/>
    <w:unhideWhenUsed/>
    <w:rsid w:val="00B24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33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66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6638"/>
    <w:rPr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3753F4"/>
  </w:style>
  <w:style w:type="paragraph" w:customStyle="1" w:styleId="Default">
    <w:name w:val="Default"/>
    <w:rsid w:val="002546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4D39-B26C-4440-BDAD-37FA851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Jeferson Miola</cp:lastModifiedBy>
  <cp:revision>2</cp:revision>
  <cp:lastPrinted>2018-05-14T16:35:00Z</cp:lastPrinted>
  <dcterms:created xsi:type="dcterms:W3CDTF">2018-05-22T17:23:00Z</dcterms:created>
  <dcterms:modified xsi:type="dcterms:W3CDTF">2018-05-22T17:23:00Z</dcterms:modified>
</cp:coreProperties>
</file>